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8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以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此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为</w:t>
      </w:r>
      <w:r>
        <w:rPr>
          <w:rFonts w:ascii="SimHei" w:hAnsi="SimHei" w:eastAsia="SimHei" w:cs="SimHei"/>
          <w:sz w:val="31"/>
          <w:szCs w:val="31"/>
          <w:spacing w:val="2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21"/>
        </w:rPr>
        <w:t>准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9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深财债〔2025〕132号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7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深圳市财政局关于发行2025年深圳市政府</w:t>
      </w:r>
    </w:p>
    <w:p>
      <w:pPr>
        <w:ind w:left="696"/>
        <w:spacing w:before="2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5"/>
        </w:rPr>
        <w:t>专项债券(六十四至七十期)、再融资</w:t>
      </w:r>
    </w:p>
    <w:p>
      <w:pPr>
        <w:ind w:left="896"/>
        <w:spacing w:before="2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7"/>
        </w:rPr>
        <w:t>一般债券(六期)和再融资专项债券</w:t>
      </w:r>
    </w:p>
    <w:p>
      <w:pPr>
        <w:ind w:left="2206"/>
        <w:spacing w:before="2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6"/>
        </w:rPr>
        <w:t>(九期)有关事宜的通知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right="15"/>
        <w:spacing w:before="101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中央国债登记结算有限责任公司、中国证券登记结算有</w:t>
      </w:r>
      <w:r>
        <w:rPr>
          <w:rFonts w:ascii="FangSong" w:hAnsi="FangSong" w:eastAsia="FangSong" w:cs="FangSong"/>
          <w:sz w:val="31"/>
          <w:szCs w:val="31"/>
          <w:spacing w:val="7"/>
        </w:rPr>
        <w:t>限责任公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司、上海证券交易所、深圳证券交易所、北京证券交易所，2024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—2026年深圳市政府债券承销团成员：</w:t>
      </w:r>
    </w:p>
    <w:p>
      <w:pPr>
        <w:ind w:right="11" w:firstLine="650"/>
        <w:spacing w:before="3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行2025年深圳市政府专项债券(六十四至七十期)、再融资一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般债券(六期)和再融资专项债券(九期)。现就本批债券发行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有关事宜通知如下。</w:t>
      </w:r>
    </w:p>
    <w:p>
      <w:pPr>
        <w:spacing w:line="334" w:lineRule="auto"/>
        <w:sectPr>
          <w:footerReference w:type="default" r:id="rId1"/>
          <w:pgSz w:w="11910" w:h="16840"/>
          <w:pgMar w:top="1431" w:right="1362" w:bottom="1604" w:left="1630" w:header="0" w:footer="12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939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一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、发行安排</w:t>
      </w:r>
    </w:p>
    <w:p>
      <w:pPr>
        <w:ind w:left="335" w:right="435" w:firstLine="759"/>
        <w:spacing w:before="18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</w:t>
      </w:r>
      <w:r>
        <w:rPr>
          <w:rFonts w:ascii="KaiTi" w:hAnsi="KaiTi" w:eastAsia="KaiTi" w:cs="KaiTi"/>
          <w:sz w:val="31"/>
          <w:szCs w:val="31"/>
          <w:spacing w:val="-9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0"/>
        </w:rPr>
        <w:t>。通过全国银行间债券市场、证</w:t>
      </w:r>
      <w:r>
        <w:rPr>
          <w:rFonts w:ascii="FangSong" w:hAnsi="FangSong" w:eastAsia="FangSong" w:cs="FangSong"/>
          <w:sz w:val="31"/>
          <w:szCs w:val="31"/>
          <w:spacing w:val="9"/>
        </w:rPr>
        <w:t>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券市场发行。</w:t>
      </w:r>
    </w:p>
    <w:p>
      <w:pPr>
        <w:ind w:left="335" w:right="434" w:firstLine="759"/>
        <w:spacing w:before="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12"/>
        </w:rPr>
        <w:t>。全部为记账式固定利率附息债，计划发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行面值总额为186.03亿元。</w:t>
      </w:r>
    </w:p>
    <w:p>
      <w:pPr>
        <w:ind w:left="335" w:right="310" w:firstLine="789"/>
        <w:spacing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(三)发行手续费率。</w:t>
      </w:r>
      <w:r>
        <w:rPr>
          <w:rFonts w:ascii="KaiTi" w:hAnsi="KaiTi" w:eastAsia="KaiTi" w:cs="KaiTi"/>
          <w:sz w:val="31"/>
          <w:szCs w:val="3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>5 </w:t>
      </w:r>
      <w:r>
        <w:rPr>
          <w:rFonts w:ascii="FangSong" w:hAnsi="FangSong" w:eastAsia="FangSong" w:cs="FangSong"/>
          <w:sz w:val="31"/>
          <w:szCs w:val="31"/>
          <w:spacing w:val="20"/>
        </w:rPr>
        <w:t>年期(含)以上的债券发行手续费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率为0.6%;5年期(不含)以下的债券发行手续费率</w:t>
      </w:r>
      <w:r>
        <w:rPr>
          <w:rFonts w:ascii="FangSong" w:hAnsi="FangSong" w:eastAsia="FangSong" w:cs="FangSong"/>
          <w:sz w:val="31"/>
          <w:szCs w:val="31"/>
          <w:spacing w:val="33"/>
        </w:rPr>
        <w:t>为0.3‰。</w:t>
      </w:r>
    </w:p>
    <w:p>
      <w:pPr>
        <w:ind w:left="1125"/>
        <w:spacing w:before="24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(四)上市安排</w:t>
      </w:r>
      <w:r>
        <w:rPr>
          <w:rFonts w:ascii="FangSong" w:hAnsi="FangSong" w:eastAsia="FangSong" w:cs="FangSong"/>
          <w:sz w:val="31"/>
          <w:szCs w:val="31"/>
          <w:spacing w:val="15"/>
        </w:rPr>
        <w:t>。本批债券按照有关规定进行上市交易。</w:t>
      </w:r>
    </w:p>
    <w:p>
      <w:pPr>
        <w:ind w:left="1155"/>
        <w:spacing w:before="24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(五)债券情况详见下表。</w:t>
      </w:r>
    </w:p>
    <w:p>
      <w:pPr>
        <w:spacing w:line="227" w:lineRule="exact"/>
        <w:rPr/>
      </w:pPr>
      <w:r/>
    </w:p>
    <w:tbl>
      <w:tblPr>
        <w:tblStyle w:val="TableNormal"/>
        <w:tblW w:w="9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4"/>
        <w:gridCol w:w="2128"/>
        <w:gridCol w:w="789"/>
        <w:gridCol w:w="1179"/>
        <w:gridCol w:w="1528"/>
        <w:gridCol w:w="2288"/>
        <w:gridCol w:w="1174"/>
      </w:tblGrid>
      <w:tr>
        <w:trPr>
          <w:trHeight w:val="614" w:hRule="atLeast"/>
        </w:trPr>
        <w:tc>
          <w:tcPr>
            <w:tcW w:w="504" w:type="dxa"/>
            <w:vAlign w:val="top"/>
            <w:textDirection w:val="tbRlV"/>
          </w:tcPr>
          <w:p>
            <w:pPr>
              <w:pStyle w:val="TableText"/>
              <w:ind w:left="12"/>
              <w:spacing w:before="170" w:line="199" w:lineRule="auto"/>
              <w:rPr/>
            </w:pPr>
            <w:r>
              <w:rPr>
                <w:b/>
                <w:bCs/>
              </w:rPr>
              <w:t>序</w:t>
            </w:r>
            <w:r>
              <w:rPr/>
              <w:t xml:space="preserve">  </w:t>
            </w:r>
            <w:r>
              <w:rPr>
                <w:b/>
                <w:bCs/>
              </w:rPr>
              <w:t>号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673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95"/>
              <w:spacing w:before="3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45"/>
              <w:spacing w:before="83" w:line="219" w:lineRule="auto"/>
              <w:rPr/>
            </w:pPr>
            <w:r>
              <w:rPr>
                <w:b/>
                <w:bCs/>
                <w:spacing w:val="-19"/>
              </w:rPr>
              <w:t>(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9"/>
              </w:rPr>
              <w:t>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06" w:right="119" w:hanging="100"/>
              <w:spacing w:before="50" w:line="269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377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859"/>
              <w:spacing w:before="210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201"/>
              <w:spacing w:before="208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</w:tr>
      <w:tr>
        <w:trPr>
          <w:trHeight w:val="599" w:hRule="atLeast"/>
        </w:trPr>
        <w:tc>
          <w:tcPr>
            <w:tcW w:w="504" w:type="dxa"/>
            <w:vAlign w:val="top"/>
          </w:tcPr>
          <w:p>
            <w:pPr>
              <w:pStyle w:val="TableText"/>
              <w:ind w:left="194"/>
              <w:spacing w:before="227" w:line="241" w:lineRule="auto"/>
              <w:rPr/>
            </w:pPr>
            <w:r>
              <w:rPr/>
              <w:t>1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01"/>
              <w:spacing w:before="37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76" w:line="219" w:lineRule="auto"/>
              <w:rPr/>
            </w:pPr>
            <w:r>
              <w:rPr>
                <w:spacing w:val="5"/>
              </w:rPr>
              <w:t>债券(六十四期)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92"/>
              <w:spacing w:before="227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94"/>
              <w:spacing w:before="227" w:line="239" w:lineRule="auto"/>
              <w:rPr/>
            </w:pPr>
            <w:r>
              <w:rPr>
                <w:spacing w:val="-2"/>
              </w:rPr>
              <w:t>65.2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95"/>
              <w:spacing w:before="208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57" w:line="258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39" w:line="267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589" w:hRule="atLeast"/>
        </w:trPr>
        <w:tc>
          <w:tcPr>
            <w:tcW w:w="504" w:type="dxa"/>
            <w:vAlign w:val="top"/>
          </w:tcPr>
          <w:p>
            <w:pPr>
              <w:pStyle w:val="TableText"/>
              <w:ind w:left="194"/>
              <w:spacing w:before="218" w:line="241" w:lineRule="auto"/>
              <w:rPr/>
            </w:pPr>
            <w:r>
              <w:rPr/>
              <w:t>2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01"/>
              <w:spacing w:before="38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76" w:line="219" w:lineRule="auto"/>
              <w:rPr/>
            </w:pPr>
            <w:r>
              <w:rPr>
                <w:spacing w:val="5"/>
              </w:rPr>
              <w:t>债券(六十五期)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92"/>
              <w:spacing w:before="21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43"/>
              <w:spacing w:before="218" w:line="239" w:lineRule="auto"/>
              <w:rPr/>
            </w:pPr>
            <w:r>
              <w:rPr>
                <w:spacing w:val="-2"/>
              </w:rPr>
              <w:t>21.52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95"/>
              <w:spacing w:before="199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50" w:line="257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50" w:line="257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1797" w:hRule="atLeast"/>
        </w:trPr>
        <w:tc>
          <w:tcPr>
            <w:tcW w:w="5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2"/>
              <w:rPr/>
            </w:pPr>
            <w:r>
              <w:rPr/>
              <w:t>3</w:t>
            </w:r>
          </w:p>
        </w:tc>
        <w:tc>
          <w:tcPr>
            <w:tcW w:w="21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1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85" w:line="219" w:lineRule="auto"/>
              <w:rPr/>
            </w:pPr>
            <w:r>
              <w:rPr>
                <w:spacing w:val="5"/>
              </w:rPr>
              <w:t>债券(六十六期)</w:t>
            </w:r>
          </w:p>
        </w:tc>
        <w:tc>
          <w:tcPr>
            <w:tcW w:w="7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61" w:line="239" w:lineRule="auto"/>
              <w:rPr/>
            </w:pPr>
            <w:r>
              <w:rPr>
                <w:spacing w:val="-3"/>
              </w:rPr>
              <w:t>2.3</w:t>
            </w:r>
          </w:p>
        </w:tc>
        <w:tc>
          <w:tcPr>
            <w:tcW w:w="152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239" w:hanging="49"/>
              <w:spacing w:before="62" w:line="283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48"/>
              <w:spacing w:before="79"/>
              <w:rPr/>
            </w:pPr>
            <w:r>
              <w:rPr>
                <w:spacing w:val="-2"/>
              </w:rPr>
              <w:t>2036-2040</w:t>
            </w:r>
          </w:p>
          <w:p>
            <w:pPr>
              <w:pStyle w:val="TableText"/>
              <w:ind w:left="109"/>
              <w:spacing w:before="14" w:line="219" w:lineRule="auto"/>
              <w:rPr/>
            </w:pPr>
            <w:r>
              <w:rPr>
                <w:spacing w:val="6"/>
              </w:rPr>
              <w:t>年每年11月</w:t>
            </w:r>
          </w:p>
          <w:p>
            <w:pPr>
              <w:pStyle w:val="TableText"/>
              <w:ind w:left="148"/>
              <w:spacing w:before="73" w:line="219" w:lineRule="auto"/>
              <w:rPr/>
            </w:pPr>
            <w:r>
              <w:rPr>
                <w:spacing w:val="2"/>
              </w:rPr>
              <w:t>25日(节假</w:t>
            </w:r>
          </w:p>
          <w:p>
            <w:pPr>
              <w:pStyle w:val="TableText"/>
              <w:ind w:left="148"/>
              <w:spacing w:before="76" w:line="220" w:lineRule="auto"/>
              <w:rPr/>
            </w:pPr>
            <w:r>
              <w:rPr>
                <w:spacing w:val="2"/>
              </w:rPr>
              <w:t>日顺延)偿</w:t>
            </w:r>
          </w:p>
          <w:p>
            <w:pPr>
              <w:pStyle w:val="TableText"/>
              <w:ind w:left="198"/>
              <w:spacing w:before="81" w:line="219" w:lineRule="auto"/>
              <w:rPr/>
            </w:pPr>
            <w:r>
              <w:rPr>
                <w:spacing w:val="3"/>
              </w:rPr>
              <w:t>还本金的</w:t>
            </w:r>
          </w:p>
          <w:p>
            <w:pPr>
              <w:pStyle w:val="TableText"/>
              <w:ind w:left="438"/>
              <w:spacing w:before="105" w:line="201" w:lineRule="auto"/>
              <w:rPr/>
            </w:pPr>
            <w:r>
              <w:rPr>
                <w:spacing w:val="-3"/>
              </w:rPr>
              <w:t>20%</w:t>
            </w:r>
          </w:p>
        </w:tc>
      </w:tr>
      <w:tr>
        <w:trPr>
          <w:trHeight w:val="599" w:hRule="atLeast"/>
        </w:trPr>
        <w:tc>
          <w:tcPr>
            <w:tcW w:w="504" w:type="dxa"/>
            <w:vAlign w:val="top"/>
          </w:tcPr>
          <w:p>
            <w:pPr>
              <w:pStyle w:val="TableText"/>
              <w:ind w:left="194"/>
              <w:spacing w:before="232" w:line="241" w:lineRule="auto"/>
              <w:rPr/>
            </w:pPr>
            <w:r>
              <w:rPr/>
              <w:t>4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01"/>
              <w:spacing w:before="32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85" w:line="219" w:lineRule="auto"/>
              <w:rPr/>
            </w:pPr>
            <w:r>
              <w:rPr>
                <w:spacing w:val="5"/>
              </w:rPr>
              <w:t>债券(六十七期)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92"/>
              <w:spacing w:before="23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94"/>
              <w:spacing w:before="232" w:line="239" w:lineRule="auto"/>
              <w:rPr/>
            </w:pPr>
            <w:r>
              <w:rPr>
                <w:spacing w:val="-2"/>
              </w:rPr>
              <w:t>4.61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95"/>
              <w:spacing w:before="213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64" w:line="255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43" w:line="265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1787" w:hRule="atLeast"/>
        </w:trPr>
        <w:tc>
          <w:tcPr>
            <w:tcW w:w="5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2"/>
              <w:rPr/>
            </w:pPr>
            <w:r>
              <w:rPr/>
              <w:t>5</w:t>
            </w:r>
          </w:p>
        </w:tc>
        <w:tc>
          <w:tcPr>
            <w:tcW w:w="21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2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75" w:line="219" w:lineRule="auto"/>
              <w:rPr/>
            </w:pPr>
            <w:r>
              <w:rPr>
                <w:spacing w:val="5"/>
              </w:rPr>
              <w:t>债券(六十八期)</w:t>
            </w:r>
          </w:p>
        </w:tc>
        <w:tc>
          <w:tcPr>
            <w:tcW w:w="7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39" w:lineRule="auto"/>
              <w:rPr/>
            </w:pPr>
            <w:r>
              <w:rPr>
                <w:spacing w:val="-2"/>
              </w:rPr>
              <w:t>21.06</w:t>
            </w:r>
          </w:p>
        </w:tc>
        <w:tc>
          <w:tcPr>
            <w:tcW w:w="15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239" w:hanging="49"/>
              <w:spacing w:before="62" w:line="293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48"/>
              <w:spacing w:before="93"/>
              <w:rPr/>
            </w:pPr>
            <w:r>
              <w:rPr>
                <w:spacing w:val="-2"/>
              </w:rPr>
              <w:t>2036-2045</w:t>
            </w:r>
          </w:p>
          <w:p>
            <w:pPr>
              <w:pStyle w:val="TableText"/>
              <w:ind w:left="109"/>
              <w:spacing w:before="14" w:line="219" w:lineRule="auto"/>
              <w:rPr/>
            </w:pPr>
            <w:r>
              <w:rPr>
                <w:spacing w:val="6"/>
              </w:rPr>
              <w:t>年每年11月</w:t>
            </w:r>
          </w:p>
          <w:p>
            <w:pPr>
              <w:pStyle w:val="TableText"/>
              <w:ind w:left="148"/>
              <w:spacing w:before="73" w:line="219" w:lineRule="auto"/>
              <w:rPr/>
            </w:pPr>
            <w:r>
              <w:rPr>
                <w:spacing w:val="2"/>
              </w:rPr>
              <w:t>25日(节假</w:t>
            </w:r>
          </w:p>
          <w:p>
            <w:pPr>
              <w:pStyle w:val="TableText"/>
              <w:ind w:left="148"/>
              <w:spacing w:before="66" w:line="220" w:lineRule="auto"/>
              <w:rPr/>
            </w:pPr>
            <w:r>
              <w:rPr>
                <w:spacing w:val="2"/>
              </w:rPr>
              <w:t>日顺延)偿</w:t>
            </w:r>
          </w:p>
          <w:p>
            <w:pPr>
              <w:pStyle w:val="TableText"/>
              <w:ind w:left="198"/>
              <w:spacing w:before="71" w:line="219" w:lineRule="auto"/>
              <w:rPr/>
            </w:pPr>
            <w:r>
              <w:rPr>
                <w:spacing w:val="3"/>
              </w:rPr>
              <w:t>还本金的</w:t>
            </w:r>
          </w:p>
          <w:p>
            <w:pPr>
              <w:pStyle w:val="TableText"/>
              <w:ind w:left="438"/>
              <w:spacing w:before="105" w:line="197" w:lineRule="auto"/>
              <w:rPr/>
            </w:pPr>
            <w:r>
              <w:rPr>
                <w:spacing w:val="-5"/>
              </w:rPr>
              <w:t>10%</w:t>
            </w:r>
          </w:p>
        </w:tc>
      </w:tr>
      <w:tr>
        <w:trPr>
          <w:trHeight w:val="589" w:hRule="atLeast"/>
        </w:trPr>
        <w:tc>
          <w:tcPr>
            <w:tcW w:w="504" w:type="dxa"/>
            <w:vAlign w:val="top"/>
          </w:tcPr>
          <w:p>
            <w:pPr>
              <w:pStyle w:val="TableText"/>
              <w:ind w:left="194"/>
              <w:spacing w:before="226"/>
              <w:rPr/>
            </w:pPr>
            <w:r>
              <w:rPr/>
              <w:t>6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01"/>
              <w:spacing w:before="46" w:line="219" w:lineRule="auto"/>
              <w:rPr/>
            </w:pPr>
            <w:r>
              <w:rPr/>
              <w:t>2025年深圳市政府专项</w:t>
            </w:r>
          </w:p>
          <w:p>
            <w:pPr>
              <w:pStyle w:val="TableText"/>
              <w:ind w:left="391"/>
              <w:spacing w:before="85" w:line="215" w:lineRule="auto"/>
              <w:rPr/>
            </w:pPr>
            <w:r>
              <w:rPr>
                <w:spacing w:val="5"/>
              </w:rPr>
              <w:t>债券(六十九期)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92"/>
              <w:spacing w:before="22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43"/>
              <w:spacing w:before="226" w:line="239" w:lineRule="auto"/>
              <w:rPr/>
            </w:pPr>
            <w:r>
              <w:rPr>
                <w:spacing w:val="-4"/>
              </w:rPr>
              <w:t>16.03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95"/>
              <w:spacing w:before="207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58" w:line="253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58" w:line="253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285" w:hRule="atLeast"/>
        </w:trPr>
        <w:tc>
          <w:tcPr>
            <w:tcW w:w="504" w:type="dxa"/>
            <w:vAlign w:val="top"/>
          </w:tcPr>
          <w:p>
            <w:pPr>
              <w:pStyle w:val="TableText"/>
              <w:ind w:left="194"/>
              <w:spacing w:before="77" w:line="192" w:lineRule="auto"/>
              <w:rPr/>
            </w:pPr>
            <w:r>
              <w:rPr/>
              <w:t>7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01"/>
              <w:spacing w:before="57" w:line="211" w:lineRule="auto"/>
              <w:rPr/>
            </w:pPr>
            <w:r>
              <w:rPr/>
              <w:t>2025年深圳市政府专项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292"/>
              <w:spacing w:before="77" w:line="192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94"/>
              <w:spacing w:before="77" w:line="192" w:lineRule="auto"/>
              <w:rPr/>
            </w:pPr>
            <w:r>
              <w:rPr>
                <w:spacing w:val="-5"/>
              </w:rPr>
              <w:t>1.31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95"/>
              <w:spacing w:before="58" w:line="210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37"/>
              <w:spacing w:before="58" w:line="210" w:lineRule="auto"/>
              <w:rPr/>
            </w:pPr>
            <w:r>
              <w:rPr>
                <w:spacing w:val="-1"/>
              </w:rPr>
              <w:t>存续期内11月25日和5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09"/>
              <w:spacing w:before="58" w:line="210" w:lineRule="auto"/>
              <w:rPr/>
            </w:pPr>
            <w:r>
              <w:rPr>
                <w:spacing w:val="-3"/>
              </w:rPr>
              <w:t>到期一次性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10" w:h="16840"/>
          <w:pgMar w:top="1431" w:right="1004" w:bottom="1526" w:left="1304" w:header="0" w:footer="1212" w:gutter="0"/>
        </w:sectPr>
        <w:rPr/>
      </w:pPr>
    </w:p>
    <w:p>
      <w:pPr>
        <w:spacing w:before="30"/>
        <w:rPr/>
      </w:pPr>
      <w:r/>
    </w:p>
    <w:p>
      <w:pPr>
        <w:spacing w:before="30"/>
        <w:rPr/>
      </w:pPr>
      <w:r/>
    </w:p>
    <w:tbl>
      <w:tblPr>
        <w:tblStyle w:val="TableNormal"/>
        <w:tblW w:w="96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2118"/>
        <w:gridCol w:w="809"/>
        <w:gridCol w:w="1169"/>
        <w:gridCol w:w="1538"/>
        <w:gridCol w:w="2288"/>
        <w:gridCol w:w="1174"/>
      </w:tblGrid>
      <w:tr>
        <w:trPr>
          <w:trHeight w:val="293" w:hRule="atLeast"/>
        </w:trPr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pStyle w:val="TableText"/>
              <w:ind w:left="481"/>
              <w:spacing w:before="52" w:line="219" w:lineRule="auto"/>
              <w:rPr/>
            </w:pPr>
            <w:r>
              <w:rPr>
                <w:spacing w:val="5"/>
              </w:rPr>
              <w:t>债券(七十期)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/>
              <w:spacing w:before="51" w:line="219" w:lineRule="auto"/>
              <w:rPr/>
            </w:pP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/>
              <w:spacing w:before="51" w:line="219" w:lineRule="auto"/>
              <w:rPr/>
            </w:pPr>
            <w:r>
              <w:rPr>
                <w:spacing w:val="-2"/>
              </w:rPr>
              <w:t>偿还本金</w:t>
            </w:r>
          </w:p>
        </w:tc>
      </w:tr>
      <w:tr>
        <w:trPr>
          <w:trHeight w:val="596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204"/>
              <w:spacing w:before="228"/>
              <w:rPr/>
            </w:pPr>
            <w:r>
              <w:rPr/>
              <w:t>8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90" w:right="96" w:hanging="189"/>
              <w:spacing w:before="38" w:line="266" w:lineRule="auto"/>
              <w:rPr/>
            </w:pPr>
            <w:r>
              <w:rPr/>
              <w:t>2025年深圳市政府再融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资一般债券(六期)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02"/>
              <w:spacing w:before="22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484"/>
              <w:spacing w:before="228" w:line="24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95"/>
              <w:spacing w:before="209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48" w:line="261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59" w:line="256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  <w:tr>
        <w:trPr>
          <w:trHeight w:val="61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204"/>
              <w:spacing w:before="232"/>
              <w:rPr/>
            </w:pPr>
            <w:r>
              <w:rPr/>
              <w:t>9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90" w:right="96" w:hanging="189"/>
              <w:spacing w:before="52" w:line="266" w:lineRule="auto"/>
              <w:rPr/>
            </w:pPr>
            <w:r>
              <w:rPr/>
              <w:t>2025年深圳市政府再融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资专项债券(九期)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02"/>
              <w:spacing w:before="23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484"/>
              <w:spacing w:before="232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95"/>
              <w:spacing w:before="213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86" w:right="239" w:hanging="49"/>
              <w:spacing w:before="54" w:line="265" w:lineRule="auto"/>
              <w:rPr/>
            </w:pPr>
            <w:r>
              <w:rPr>
                <w:spacing w:val="-1"/>
              </w:rPr>
              <w:t>存续期内11月25日和5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月25日(节假日顺延)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ind w:left="198" w:right="117" w:hanging="89"/>
              <w:spacing w:before="44" w:line="270" w:lineRule="auto"/>
              <w:rPr/>
            </w:pPr>
            <w:r>
              <w:rPr>
                <w:spacing w:val="-3"/>
              </w:rPr>
              <w:t>到期一次性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</w:tr>
    </w:tbl>
    <w:p>
      <w:pPr>
        <w:ind w:left="1069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二</w:t>
      </w:r>
      <w:r>
        <w:rPr>
          <w:rFonts w:ascii="SimHei" w:hAnsi="SimHei" w:eastAsia="SimHei" w:cs="SimHei"/>
          <w:sz w:val="31"/>
          <w:szCs w:val="31"/>
          <w:spacing w:val="-8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、竞争性招标</w:t>
      </w:r>
    </w:p>
    <w:p>
      <w:pPr>
        <w:ind w:left="415" w:right="292" w:firstLine="799"/>
        <w:spacing w:before="238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(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一)招标方式。</w:t>
      </w:r>
      <w:r>
        <w:rPr>
          <w:rFonts w:ascii="KaiTi" w:hAnsi="KaiTi" w:eastAsia="KaiTi" w:cs="KaiTi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采用单一价格荷兰式招标方式</w:t>
      </w:r>
      <w:r>
        <w:rPr>
          <w:rFonts w:ascii="FangSong" w:hAnsi="FangSong" w:eastAsia="FangSong" w:cs="FangSong"/>
          <w:sz w:val="31"/>
          <w:szCs w:val="31"/>
          <w:spacing w:val="6"/>
        </w:rPr>
        <w:t>，标的为利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率，全场最高中标利率为各期债券的票面利率。</w:t>
      </w:r>
    </w:p>
    <w:p>
      <w:pPr>
        <w:ind w:left="415" w:right="287" w:firstLine="799"/>
        <w:spacing w:before="1" w:line="377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2025年11月24日16:00</w:t>
      </w:r>
      <w:r>
        <w:rPr>
          <w:rFonts w:ascii="FangSong" w:hAnsi="FangSong" w:eastAsia="FangSong" w:cs="FangSong"/>
          <w:sz w:val="31"/>
          <w:szCs w:val="31"/>
          <w:spacing w:val="24"/>
        </w:rPr>
        <w:t>—16:40为竞争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性招标时间，竞争性招标结束后15分钟内为填制债权托管申请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书时间。本批债券11月25日开始计息，招标结束至缴款</w:t>
      </w:r>
      <w:r>
        <w:rPr>
          <w:rFonts w:ascii="FangSong" w:hAnsi="FangSong" w:eastAsia="FangSong" w:cs="FangSong"/>
          <w:sz w:val="31"/>
          <w:szCs w:val="31"/>
          <w:spacing w:val="16"/>
        </w:rPr>
        <w:t>日进行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分</w:t>
      </w:r>
      <w:r>
        <w:rPr>
          <w:rFonts w:ascii="FangSong" w:hAnsi="FangSong" w:eastAsia="FangSong" w:cs="FangSong"/>
          <w:sz w:val="25"/>
          <w:szCs w:val="25"/>
          <w:spacing w:val="-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销</w:t>
      </w:r>
      <w:r>
        <w:rPr>
          <w:rFonts w:ascii="FangSong" w:hAnsi="FangSong" w:eastAsia="FangSong" w:cs="FangSong"/>
          <w:sz w:val="25"/>
          <w:szCs w:val="25"/>
          <w:spacing w:val="-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。</w:t>
      </w:r>
    </w:p>
    <w:p>
      <w:pPr>
        <w:ind w:left="415" w:right="290" w:firstLine="799"/>
        <w:spacing w:before="6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(三)参与机构。</w:t>
      </w:r>
      <w:r>
        <w:rPr>
          <w:rFonts w:ascii="KaiTi" w:hAnsi="KaiTi" w:eastAsia="KaiTi" w:cs="KaiTi"/>
          <w:sz w:val="31"/>
          <w:szCs w:val="3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2</w:t>
      </w:r>
      <w:r>
        <w:rPr>
          <w:rFonts w:ascii="FangSong" w:hAnsi="FangSong" w:eastAsia="FangSong" w:cs="FangSong"/>
          <w:sz w:val="31"/>
          <w:szCs w:val="31"/>
          <w:spacing w:val="17"/>
        </w:rPr>
        <w:t>024—2026年深圳市政府债券承销团成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员(以下简称承销团成员，名单见附件)有资格</w:t>
      </w:r>
      <w:r>
        <w:rPr>
          <w:rFonts w:ascii="FangSong" w:hAnsi="FangSong" w:eastAsia="FangSong" w:cs="FangSong"/>
          <w:sz w:val="31"/>
          <w:szCs w:val="31"/>
          <w:spacing w:val="19"/>
        </w:rPr>
        <w:t>参与本次投标。</w:t>
      </w:r>
    </w:p>
    <w:p>
      <w:pPr>
        <w:ind w:left="415" w:right="289" w:firstLine="799"/>
        <w:spacing w:before="232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9"/>
        </w:rPr>
        <w:t>。投标标位变动幅度为0.01%。</w:t>
      </w:r>
      <w:r>
        <w:rPr>
          <w:rFonts w:ascii="FangSong" w:hAnsi="FangSong" w:eastAsia="FangSong" w:cs="FangSong"/>
          <w:sz w:val="31"/>
          <w:szCs w:val="31"/>
          <w:spacing w:val="18"/>
        </w:rPr>
        <w:t>每一承销团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成员最高、最低标位差为30个标位，无需连续投标。</w:t>
      </w:r>
      <w:r>
        <w:rPr>
          <w:rFonts w:ascii="FangSong" w:hAnsi="FangSong" w:eastAsia="FangSong" w:cs="FangSong"/>
          <w:sz w:val="31"/>
          <w:szCs w:val="31"/>
          <w:spacing w:val="18"/>
        </w:rPr>
        <w:t>投标标位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下同)财政部公布的财政部-中国地方政府债券收益率曲线中，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10年期地方政府债券收益率算术平均值下浮9%,15年</w:t>
      </w:r>
      <w:r>
        <w:rPr>
          <w:rFonts w:ascii="FangSong" w:hAnsi="FangSong" w:eastAsia="FangSong" w:cs="FangSong"/>
          <w:sz w:val="31"/>
          <w:szCs w:val="31"/>
          <w:spacing w:val="22"/>
        </w:rPr>
        <w:t>期地方政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府债券收益率算术平均值下浮10%,20年期地方政府债券</w:t>
      </w:r>
      <w:r>
        <w:rPr>
          <w:rFonts w:ascii="FangSong" w:hAnsi="FangSong" w:eastAsia="FangSong" w:cs="FangSong"/>
          <w:sz w:val="31"/>
          <w:szCs w:val="31"/>
          <w:spacing w:val="17"/>
        </w:rPr>
        <w:t>收益率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算术平均值下浮8%,30年期地方政府债券收</w:t>
      </w:r>
      <w:r>
        <w:rPr>
          <w:rFonts w:ascii="FangSong" w:hAnsi="FangSong" w:eastAsia="FangSong" w:cs="FangSong"/>
          <w:sz w:val="31"/>
          <w:szCs w:val="31"/>
          <w:spacing w:val="23"/>
        </w:rPr>
        <w:t>益率算术平均值下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浮9%,且不低于招标日前1至5个工作日财政部公布的财政部一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中国国债收益率曲线中，同年期国债收益率算术平</w:t>
      </w:r>
      <w:r>
        <w:rPr>
          <w:rFonts w:ascii="FangSong" w:hAnsi="FangSong" w:eastAsia="FangSong" w:cs="FangSong"/>
          <w:sz w:val="31"/>
          <w:szCs w:val="31"/>
          <w:spacing w:val="7"/>
        </w:rPr>
        <w:t>均值；投标标</w:t>
      </w:r>
    </w:p>
    <w:p>
      <w:pPr>
        <w:spacing w:line="342" w:lineRule="auto"/>
        <w:sectPr>
          <w:footerReference w:type="default" r:id="rId3"/>
          <w:pgSz w:w="11910" w:h="16840"/>
          <w:pgMar w:top="1431" w:right="994" w:bottom="1844" w:left="1284" w:header="0" w:footer="152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right="350"/>
        <w:spacing w:before="100" w:line="365" w:lineRule="auto"/>
        <w:rPr>
          <w:rFonts w:ascii="SimSun" w:hAnsi="SimSun" w:eastAsia="SimSun" w:cs="SimSun"/>
          <w:sz w:val="27"/>
          <w:szCs w:val="27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位区间上限为上述各年期地方政府债券收益率算术平均值上浮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8"/>
        </w:rPr>
        <w:t>10%</w:t>
      </w:r>
      <w:r>
        <w:rPr>
          <w:rFonts w:ascii="SimSun" w:hAnsi="SimSun" w:eastAsia="SimSun" w:cs="SimSun"/>
          <w:sz w:val="27"/>
          <w:szCs w:val="27"/>
          <w:spacing w:val="-8"/>
        </w:rPr>
        <w:t>。</w:t>
      </w:r>
    </w:p>
    <w:p>
      <w:pPr>
        <w:ind w:right="448" w:firstLine="659"/>
        <w:spacing w:before="1" w:line="3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(五)招标系统。</w:t>
      </w:r>
      <w:r>
        <w:rPr>
          <w:rFonts w:ascii="FangSong" w:hAnsi="FangSong" w:eastAsia="FangSong" w:cs="FangSong"/>
          <w:sz w:val="31"/>
          <w:szCs w:val="31"/>
          <w:spacing w:val="6"/>
        </w:rPr>
        <w:t>深圳市财政局于招标日通过“财政部政府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债券发行系统”组织招投标工作。</w:t>
      </w:r>
    </w:p>
    <w:p>
      <w:pPr>
        <w:ind w:left="66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三、发行款缴纳</w:t>
      </w:r>
    </w:p>
    <w:p>
      <w:pPr>
        <w:ind w:right="240" w:firstLine="659"/>
        <w:spacing w:before="200" w:line="35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承销团成员于2025年11月25日15:</w:t>
      </w:r>
      <w:r>
        <w:rPr>
          <w:rFonts w:ascii="FangSong" w:hAnsi="FangSong" w:eastAsia="FangSong" w:cs="FangSong"/>
          <w:sz w:val="31"/>
          <w:szCs w:val="31"/>
          <w:spacing w:val="26"/>
        </w:rPr>
        <w:t>00前，按照承销额度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及缴款通知书上确定金额，将发行款通过大额实时支付系统缴入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深圳市财政局指定账户。缴款日期以深圳市财政局指</w:t>
      </w:r>
      <w:r>
        <w:rPr>
          <w:rFonts w:ascii="FangSong" w:hAnsi="FangSong" w:eastAsia="FangSong" w:cs="FangSong"/>
          <w:sz w:val="31"/>
          <w:szCs w:val="31"/>
          <w:spacing w:val="2"/>
        </w:rPr>
        <w:t>定账户收到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款项为准。承销团成员未按时缴付发行款的</w:t>
      </w:r>
      <w:r>
        <w:rPr>
          <w:rFonts w:ascii="FangSong" w:hAnsi="FangSong" w:eastAsia="FangSong" w:cs="FangSong"/>
          <w:sz w:val="31"/>
          <w:szCs w:val="31"/>
          <w:spacing w:val="3"/>
        </w:rPr>
        <w:t>，按规定将违约金通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过大额实时支付系统缴入深圳市财政局指定账户。</w:t>
      </w:r>
    </w:p>
    <w:p>
      <w:pPr>
        <w:ind w:left="65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深圳市财政局收款账户信息：</w:t>
      </w:r>
    </w:p>
    <w:p>
      <w:pPr>
        <w:ind w:left="659"/>
        <w:spacing w:before="2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户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名：深圳市财政库款</w:t>
      </w:r>
    </w:p>
    <w:p>
      <w:pPr>
        <w:ind w:left="659"/>
        <w:spacing w:before="23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账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"/>
        </w:rPr>
        <w:t>号：380100000003271001</w:t>
      </w:r>
    </w:p>
    <w:p>
      <w:pPr>
        <w:ind w:left="65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开户银行：国家金库深圳分库</w:t>
      </w:r>
    </w:p>
    <w:p>
      <w:pPr>
        <w:ind w:left="659"/>
        <w:spacing w:before="2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汇入行行号：011584003008</w:t>
      </w:r>
    </w:p>
    <w:p>
      <w:pPr>
        <w:ind w:firstLine="659"/>
        <w:spacing w:before="218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科目代码、债券简称及资金用途。本批债券录入：市级</w:t>
      </w:r>
      <w:r>
        <w:rPr>
          <w:rFonts w:ascii="FangSong" w:hAnsi="FangSong" w:eastAsia="FangSong" w:cs="FangSong"/>
          <w:sz w:val="31"/>
          <w:szCs w:val="31"/>
          <w:spacing w:val="7"/>
        </w:rPr>
        <w:t>、科目代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码(其中：再融资一般债券六期科目代码为105040101,其他债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券科目代码均为105040298)、25深圳债11月24日发行款。如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未及时缴款，请按照原承销合同要求缴纳违约金，并录入：市级、</w:t>
      </w:r>
    </w:p>
    <w:p>
      <w:pPr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1039999、25深圳债**逾期违约金。</w:t>
      </w:r>
    </w:p>
    <w:p>
      <w:pPr>
        <w:spacing w:line="221" w:lineRule="auto"/>
        <w:sectPr>
          <w:footerReference w:type="default" r:id="rId4"/>
          <w:pgSz w:w="11910" w:h="16840"/>
          <w:pgMar w:top="1431" w:right="1194" w:bottom="1766" w:left="1690" w:header="0" w:footer="145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674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四、其他</w:t>
      </w:r>
    </w:p>
    <w:p>
      <w:pPr>
        <w:ind w:right="63" w:firstLine="799"/>
        <w:spacing w:before="197" w:line="352" w:lineRule="auto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(一)根据《财政部国家税务总局关于地方政府债券利息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2"/>
        </w:rPr>
        <w:t>所得税</w:t>
      </w:r>
      <w:r>
        <w:rPr>
          <w:rFonts w:ascii="FangSong" w:hAnsi="FangSong" w:eastAsia="FangSong" w:cs="FangSong"/>
          <w:sz w:val="26"/>
          <w:szCs w:val="26"/>
          <w:spacing w:val="-5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2"/>
        </w:rPr>
        <w:t>。</w:t>
      </w:r>
    </w:p>
    <w:p>
      <w:pPr>
        <w:ind w:right="55" w:firstLine="809"/>
        <w:spacing w:before="3" w:line="34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(二)除上述规定外，发行工作其他事宜按《深圳市财政局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关于印发《深圳市政府债券招标发行和兑付办法〉</w:t>
      </w:r>
      <w:r>
        <w:rPr>
          <w:rFonts w:ascii="FangSong" w:hAnsi="FangSong" w:eastAsia="FangSong" w:cs="FangSong"/>
          <w:sz w:val="32"/>
          <w:szCs w:val="32"/>
          <w:spacing w:val="2"/>
        </w:rPr>
        <w:t>的通知》(深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财库〔2023〕77号)规定执行。</w:t>
      </w:r>
    </w:p>
    <w:p>
      <w:pPr>
        <w:pStyle w:val="BodyText"/>
        <w:spacing w:line="441" w:lineRule="auto"/>
        <w:rPr/>
      </w:pPr>
      <w:r/>
    </w:p>
    <w:p>
      <w:pPr>
        <w:ind w:left="66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附件：2024-2026年深圳市政府债券承销团成员名单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544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3289310</wp:posOffset>
            </wp:positionH>
            <wp:positionV relativeFrom="paragraph">
              <wp:posOffset>-433748</wp:posOffset>
            </wp:positionV>
            <wp:extent cx="1568383" cy="15176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383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5"/>
        </w:rPr>
        <w:t>深圳市财政局</w:t>
      </w:r>
    </w:p>
    <w:p>
      <w:pPr>
        <w:ind w:left="5170"/>
        <w:spacing w:before="19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8"/>
        </w:rPr>
        <w:t>2025年11月14日</w:t>
      </w: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1759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(联系人：林靖，联系电话：83938727)</w:t>
      </w:r>
    </w:p>
    <w:p>
      <w:pPr>
        <w:spacing w:line="222" w:lineRule="auto"/>
        <w:sectPr>
          <w:footerReference w:type="default" r:id="rId5"/>
          <w:pgSz w:w="11910" w:h="16840"/>
          <w:pgMar w:top="1431" w:right="1243" w:bottom="1863" w:left="1710" w:header="0" w:footer="152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附</w:t>
      </w:r>
      <w:r>
        <w:rPr>
          <w:rFonts w:ascii="SimHei" w:hAnsi="SimHei" w:eastAsia="SimHei" w:cs="SimHei"/>
          <w:sz w:val="32"/>
          <w:szCs w:val="32"/>
          <w:spacing w:val="36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件</w:t>
      </w:r>
    </w:p>
    <w:p>
      <w:pPr>
        <w:pStyle w:val="BodyText"/>
        <w:spacing w:line="442" w:lineRule="auto"/>
        <w:rPr/>
      </w:pPr>
      <w:r/>
    </w:p>
    <w:p>
      <w:pPr>
        <w:ind w:left="3560" w:right="610" w:hanging="2629"/>
        <w:spacing w:before="143" w:line="24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4"/>
        </w:rPr>
        <w:t>2024-2026年深圳市政府债券承销团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809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一、银行机构</w:t>
      </w:r>
    </w:p>
    <w:p>
      <w:pPr>
        <w:pStyle w:val="BodyText"/>
        <w:spacing w:line="267" w:lineRule="auto"/>
        <w:rPr/>
      </w:pPr>
      <w:r/>
    </w:p>
    <w:p>
      <w:pPr>
        <w:ind w:left="830"/>
        <w:spacing w:before="104" w:line="224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0"/>
        </w:rPr>
        <w:t>(一)主承销商</w:t>
      </w:r>
    </w:p>
    <w:p>
      <w:pPr>
        <w:ind w:left="1335"/>
        <w:spacing w:before="32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1. </w:t>
      </w:r>
      <w:r>
        <w:rPr>
          <w:rFonts w:ascii="FangSong" w:hAnsi="FangSong" w:eastAsia="FangSong" w:cs="FangSong"/>
          <w:sz w:val="32"/>
          <w:szCs w:val="32"/>
          <w:spacing w:val="2"/>
        </w:rPr>
        <w:t>中国工商银行股份有限公司</w:t>
      </w:r>
    </w:p>
    <w:p>
      <w:pPr>
        <w:pStyle w:val="BodyText"/>
        <w:spacing w:line="281" w:lineRule="auto"/>
        <w:rPr/>
      </w:pPr>
      <w:r/>
    </w:p>
    <w:p>
      <w:pPr>
        <w:ind w:left="132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2. </w:t>
      </w:r>
      <w:r>
        <w:rPr>
          <w:rFonts w:ascii="FangSong" w:hAnsi="FangSong" w:eastAsia="FangSong" w:cs="FangSong"/>
          <w:sz w:val="32"/>
          <w:szCs w:val="32"/>
          <w:spacing w:val="3"/>
        </w:rPr>
        <w:t>中国农业银行股份有限公司</w:t>
      </w:r>
    </w:p>
    <w:p>
      <w:pPr>
        <w:pStyle w:val="BodyText"/>
        <w:spacing w:line="261" w:lineRule="auto"/>
        <w:rPr/>
      </w:pPr>
      <w:r/>
    </w:p>
    <w:p>
      <w:pPr>
        <w:ind w:left="13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3.</w:t>
      </w:r>
      <w:r>
        <w:rPr>
          <w:rFonts w:ascii="SimSun" w:hAnsi="SimSun" w:eastAsia="SimSun" w:cs="SimSun"/>
          <w:sz w:val="32"/>
          <w:szCs w:val="32"/>
          <w:spacing w:val="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中国银行股份有限公司</w:t>
      </w:r>
    </w:p>
    <w:p>
      <w:pPr>
        <w:pStyle w:val="BodyText"/>
        <w:spacing w:line="271" w:lineRule="auto"/>
        <w:rPr/>
      </w:pPr>
      <w:r/>
    </w:p>
    <w:p>
      <w:pPr>
        <w:ind w:left="13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4.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中国建设银行股份有限公司</w:t>
      </w:r>
    </w:p>
    <w:p>
      <w:pPr>
        <w:pStyle w:val="BodyText"/>
        <w:spacing w:line="271" w:lineRule="auto"/>
        <w:rPr/>
      </w:pPr>
      <w:r/>
    </w:p>
    <w:p>
      <w:pPr>
        <w:ind w:left="13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5.</w:t>
      </w:r>
      <w:r>
        <w:rPr>
          <w:rFonts w:ascii="SimSun" w:hAnsi="SimSun" w:eastAsia="SimSun" w:cs="SimSun"/>
          <w:sz w:val="32"/>
          <w:szCs w:val="32"/>
          <w:spacing w:val="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中信银行股份有限公司</w:t>
      </w:r>
    </w:p>
    <w:p>
      <w:pPr>
        <w:pStyle w:val="BodyText"/>
        <w:spacing w:line="251" w:lineRule="auto"/>
        <w:rPr/>
      </w:pPr>
      <w:r/>
    </w:p>
    <w:p>
      <w:pPr>
        <w:ind w:left="133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6.</w:t>
      </w:r>
      <w:r>
        <w:rPr>
          <w:rFonts w:ascii="SimSun" w:hAnsi="SimSun" w:eastAsia="SimSun" w:cs="SimSun"/>
          <w:sz w:val="32"/>
          <w:szCs w:val="32"/>
          <w:spacing w:val="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交通银行股份有限公司</w:t>
      </w:r>
    </w:p>
    <w:p>
      <w:pPr>
        <w:pStyle w:val="BodyText"/>
        <w:spacing w:line="281" w:lineRule="auto"/>
        <w:rPr/>
      </w:pPr>
      <w:r/>
    </w:p>
    <w:p>
      <w:pPr>
        <w:ind w:left="13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7.</w:t>
      </w:r>
      <w:r>
        <w:rPr>
          <w:rFonts w:ascii="SimSun" w:hAnsi="SimSun" w:eastAsia="SimSun" w:cs="SimSun"/>
          <w:sz w:val="32"/>
          <w:szCs w:val="32"/>
          <w:spacing w:val="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兴业银行股份有限公司</w:t>
      </w:r>
    </w:p>
    <w:p>
      <w:pPr>
        <w:pStyle w:val="BodyText"/>
        <w:spacing w:line="261" w:lineRule="auto"/>
        <w:rPr/>
      </w:pPr>
      <w:r/>
    </w:p>
    <w:p>
      <w:pPr>
        <w:ind w:left="13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8.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招商银行股份有限公司</w:t>
      </w:r>
    </w:p>
    <w:p>
      <w:pPr>
        <w:pStyle w:val="BodyText"/>
        <w:spacing w:line="309" w:lineRule="auto"/>
        <w:rPr/>
      </w:pPr>
      <w:r/>
    </w:p>
    <w:p>
      <w:pPr>
        <w:ind w:left="900"/>
        <w:spacing w:before="105" w:line="227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3"/>
        </w:rPr>
        <w:t>(二)一般成员</w:t>
      </w:r>
    </w:p>
    <w:p>
      <w:pPr>
        <w:ind w:left="1410"/>
        <w:spacing w:before="303" w:line="221" w:lineRule="auto"/>
        <w:outlineLvl w:val="1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1.</w:t>
      </w:r>
      <w:r>
        <w:rPr>
          <w:rFonts w:ascii="SimSun" w:hAnsi="SimSun" w:eastAsia="SimSun" w:cs="SimSu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上海浦东发展银行股份有限公司</w:t>
      </w:r>
    </w:p>
    <w:p>
      <w:pPr>
        <w:spacing w:line="221" w:lineRule="auto"/>
        <w:sectPr>
          <w:footerReference w:type="default" r:id="rId7"/>
          <w:pgSz w:w="11910" w:h="16840"/>
          <w:pgMar w:top="1431" w:right="1786" w:bottom="1746" w:left="1584" w:header="0" w:footer="142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上海银行股份有限公司</w:t>
      </w:r>
    </w:p>
    <w:p>
      <w:pPr>
        <w:pStyle w:val="BodyText"/>
        <w:spacing w:line="27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广东华兴银行股份有限公司</w:t>
      </w:r>
    </w:p>
    <w:p>
      <w:pPr>
        <w:pStyle w:val="BodyText"/>
        <w:spacing w:line="27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4.</w:t>
      </w:r>
      <w:r>
        <w:rPr>
          <w:rFonts w:ascii="SimSun" w:hAnsi="SimSun" w:eastAsia="SimSun" w:cs="SimSun"/>
          <w:sz w:val="32"/>
          <w:szCs w:val="32"/>
          <w:spacing w:val="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广发银行股份有限公司</w:t>
      </w:r>
    </w:p>
    <w:p>
      <w:pPr>
        <w:pStyle w:val="BodyText"/>
        <w:spacing w:line="27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广州银行股份有限公司</w:t>
      </w:r>
    </w:p>
    <w:p>
      <w:pPr>
        <w:pStyle w:val="BodyText"/>
        <w:spacing w:line="28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6.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天津银行股份有限公司</w:t>
      </w:r>
    </w:p>
    <w:p>
      <w:pPr>
        <w:pStyle w:val="BodyText"/>
        <w:spacing w:line="29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7.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中国民生银行股份有限公司</w:t>
      </w:r>
    </w:p>
    <w:p>
      <w:pPr>
        <w:pStyle w:val="BodyText"/>
        <w:spacing w:line="29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8.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中国光大银行股份有限公司</w:t>
      </w:r>
    </w:p>
    <w:p>
      <w:pPr>
        <w:pStyle w:val="BodyText"/>
        <w:spacing w:line="271" w:lineRule="auto"/>
        <w:rPr/>
      </w:pPr>
      <w:r/>
    </w:p>
    <w:p>
      <w:pPr>
        <w:ind w:left="11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9.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中原银行股份有限公司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10.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平安银行股份有限公司</w:t>
      </w:r>
    </w:p>
    <w:p>
      <w:pPr>
        <w:pStyle w:val="BodyText"/>
        <w:spacing w:line="26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北京银行股份有限公司</w:t>
      </w:r>
    </w:p>
    <w:p>
      <w:pPr>
        <w:pStyle w:val="BodyText"/>
        <w:spacing w:line="28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12.</w:t>
      </w:r>
      <w:r>
        <w:rPr>
          <w:rFonts w:ascii="SimSun" w:hAnsi="SimSun" w:eastAsia="SimSun" w:cs="SimSun"/>
          <w:sz w:val="32"/>
          <w:szCs w:val="32"/>
          <w:spacing w:val="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宁波银行股份有限公司</w:t>
      </w:r>
    </w:p>
    <w:p>
      <w:pPr>
        <w:pStyle w:val="BodyText"/>
        <w:spacing w:line="261" w:lineRule="auto"/>
        <w:rPr/>
      </w:pPr>
      <w:r/>
    </w:p>
    <w:p>
      <w:pPr>
        <w:ind w:left="106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13.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华夏银行股份有限公司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14.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江苏银行股份有限公司</w:t>
      </w:r>
    </w:p>
    <w:p>
      <w:pPr>
        <w:pStyle w:val="BodyText"/>
        <w:spacing w:line="28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15.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51" w:lineRule="auto"/>
        <w:rPr/>
      </w:pPr>
      <w:r/>
    </w:p>
    <w:p>
      <w:pPr>
        <w:ind w:left="106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16.</w:t>
      </w:r>
      <w:r>
        <w:rPr>
          <w:rFonts w:ascii="SimSun" w:hAnsi="SimSun" w:eastAsia="SimSun" w:cs="SimSu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国家开发银行</w:t>
      </w:r>
    </w:p>
    <w:p>
      <w:pPr>
        <w:pStyle w:val="BodyText"/>
        <w:spacing w:line="28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0"/>
        </w:rPr>
        <w:t>17. </w:t>
      </w:r>
      <w:r>
        <w:rPr>
          <w:rFonts w:ascii="FangSong" w:hAnsi="FangSong" w:eastAsia="FangSong" w:cs="FangSong"/>
          <w:sz w:val="32"/>
          <w:szCs w:val="32"/>
          <w:spacing w:val="20"/>
        </w:rPr>
        <w:t>星展银行(中国)有限公司</w:t>
      </w:r>
    </w:p>
    <w:p>
      <w:pPr>
        <w:spacing w:line="221" w:lineRule="auto"/>
        <w:sectPr>
          <w:footerReference w:type="default" r:id="rId8"/>
          <w:pgSz w:w="11910" w:h="16840"/>
          <w:pgMar w:top="1431" w:right="1222" w:bottom="1824" w:left="1786" w:header="0" w:footer="150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恒丰银行股份有限公司</w:t>
      </w:r>
    </w:p>
    <w:p>
      <w:pPr>
        <w:pStyle w:val="BodyText"/>
        <w:spacing w:line="29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19.</w:t>
      </w:r>
      <w:r>
        <w:rPr>
          <w:rFonts w:ascii="SimSun" w:hAnsi="SimSun" w:eastAsia="SimSun" w:cs="SimSun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珠海华润银行股份有限公司</w:t>
      </w:r>
    </w:p>
    <w:p>
      <w:pPr>
        <w:pStyle w:val="BodyText"/>
        <w:spacing w:line="27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20.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浙商银行股份有限公司</w:t>
      </w:r>
    </w:p>
    <w:p>
      <w:pPr>
        <w:pStyle w:val="BodyText"/>
        <w:spacing w:line="27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21.</w:t>
      </w:r>
      <w:r>
        <w:rPr>
          <w:rFonts w:ascii="SimSun" w:hAnsi="SimSun" w:eastAsia="SimSun" w:cs="SimSun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pStyle w:val="BodyText"/>
        <w:spacing w:line="28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22.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渤海银行股份有限公司</w:t>
      </w:r>
    </w:p>
    <w:p>
      <w:pPr>
        <w:pStyle w:val="BodyText"/>
        <w:spacing w:line="27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23.</w:t>
      </w:r>
      <w:r>
        <w:rPr>
          <w:rFonts w:ascii="SimSun" w:hAnsi="SimSun" w:eastAsia="SimSun" w:cs="SimSun"/>
          <w:sz w:val="31"/>
          <w:szCs w:val="31"/>
          <w:spacing w:val="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富邦华一银行有限公司</w:t>
      </w:r>
    </w:p>
    <w:p>
      <w:pPr>
        <w:pStyle w:val="BodyText"/>
        <w:spacing w:line="296" w:lineRule="auto"/>
        <w:rPr/>
      </w:pPr>
      <w:r/>
    </w:p>
    <w:p>
      <w:pPr>
        <w:ind w:left="99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24.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徽商银行股份有限公司</w:t>
      </w:r>
    </w:p>
    <w:p>
      <w:pPr>
        <w:pStyle w:val="BodyText"/>
        <w:spacing w:line="317" w:lineRule="auto"/>
        <w:rPr/>
      </w:pPr>
      <w:r/>
    </w:p>
    <w:p>
      <w:pPr>
        <w:ind w:left="720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二、证券机构</w:t>
      </w:r>
    </w:p>
    <w:p>
      <w:pPr>
        <w:pStyle w:val="BodyText"/>
        <w:spacing w:line="254" w:lineRule="auto"/>
        <w:rPr/>
      </w:pPr>
      <w:r/>
    </w:p>
    <w:p>
      <w:pPr>
        <w:ind w:left="726"/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一)主承销商</w:t>
      </w:r>
    </w:p>
    <w:p>
      <w:pPr>
        <w:ind w:left="1206"/>
        <w:spacing w:before="3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1. </w:t>
      </w:r>
      <w:r>
        <w:rPr>
          <w:rFonts w:ascii="FangSong" w:hAnsi="FangSong" w:eastAsia="FangSong" w:cs="FangSong"/>
          <w:sz w:val="31"/>
          <w:szCs w:val="31"/>
          <w:spacing w:val="13"/>
        </w:rPr>
        <w:t>中国国际金融股份有限公司</w:t>
      </w:r>
    </w:p>
    <w:p>
      <w:pPr>
        <w:pStyle w:val="BodyText"/>
        <w:spacing w:line="252" w:lineRule="auto"/>
        <w:rPr/>
      </w:pPr>
      <w:r/>
    </w:p>
    <w:p>
      <w:pPr>
        <w:ind w:left="120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中信证券股份有限公司</w:t>
      </w:r>
    </w:p>
    <w:p>
      <w:pPr>
        <w:ind w:left="1206"/>
        <w:spacing w:before="33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1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东方证券股份有限公司</w:t>
      </w:r>
    </w:p>
    <w:p>
      <w:pPr>
        <w:pStyle w:val="BodyText"/>
        <w:spacing w:line="274" w:lineRule="auto"/>
        <w:rPr/>
      </w:pPr>
      <w:r/>
    </w:p>
    <w:p>
      <w:pPr>
        <w:ind w:left="756"/>
        <w:spacing w:before="102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(二)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一般成员</w:t>
      </w:r>
    </w:p>
    <w:p>
      <w:pPr>
        <w:ind w:left="1196"/>
        <w:spacing w:before="3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万和证券股份有限公司</w:t>
      </w:r>
    </w:p>
    <w:p>
      <w:pPr>
        <w:ind w:left="1206"/>
        <w:spacing w:before="3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2. </w:t>
      </w:r>
      <w:r>
        <w:rPr>
          <w:rFonts w:ascii="FangSong" w:hAnsi="FangSong" w:eastAsia="FangSong" w:cs="FangSong"/>
          <w:sz w:val="31"/>
          <w:szCs w:val="31"/>
          <w:spacing w:val="8"/>
        </w:rPr>
        <w:t>万联证券股份有限公司</w:t>
      </w:r>
    </w:p>
    <w:p>
      <w:pPr>
        <w:pStyle w:val="BodyText"/>
        <w:spacing w:line="244" w:lineRule="auto"/>
        <w:rPr/>
      </w:pPr>
      <w:r/>
    </w:p>
    <w:p>
      <w:pPr>
        <w:ind w:left="1206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3. </w:t>
      </w:r>
      <w:r>
        <w:rPr>
          <w:rFonts w:ascii="FangSong" w:hAnsi="FangSong" w:eastAsia="FangSong" w:cs="FangSong"/>
          <w:sz w:val="31"/>
          <w:szCs w:val="31"/>
          <w:spacing w:val="13"/>
        </w:rPr>
        <w:t>五矿证券有限公司</w:t>
      </w:r>
    </w:p>
    <w:p>
      <w:pPr>
        <w:ind w:left="1206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4. </w:t>
      </w:r>
      <w:r>
        <w:rPr>
          <w:rFonts w:ascii="FangSong" w:hAnsi="FangSong" w:eastAsia="FangSong" w:cs="FangSong"/>
          <w:sz w:val="31"/>
          <w:szCs w:val="31"/>
          <w:spacing w:val="9"/>
        </w:rPr>
        <w:t>中国银河证券股份有限公司</w:t>
      </w:r>
    </w:p>
    <w:p>
      <w:pPr>
        <w:spacing w:line="222" w:lineRule="auto"/>
        <w:sectPr>
          <w:footerReference w:type="default" r:id="rId9"/>
          <w:pgSz w:w="11910" w:h="16840"/>
          <w:pgMar w:top="1431" w:right="1786" w:bottom="1736" w:left="1703" w:header="0" w:footer="14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5.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中银国际证券股份有限公司</w:t>
      </w:r>
    </w:p>
    <w:p>
      <w:pPr>
        <w:pStyle w:val="BodyText"/>
        <w:spacing w:line="254" w:lineRule="auto"/>
        <w:rPr/>
      </w:pPr>
      <w:r/>
    </w:p>
    <w:p>
      <w:pPr>
        <w:ind w:left="11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6.</w:t>
      </w:r>
      <w:r>
        <w:rPr>
          <w:rFonts w:ascii="SimSun" w:hAnsi="SimSun" w:eastAsia="SimSun" w:cs="SimSu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长城证券股份有限公司</w:t>
      </w:r>
    </w:p>
    <w:p>
      <w:pPr>
        <w:pStyle w:val="BodyText"/>
        <w:spacing w:line="264" w:lineRule="auto"/>
        <w:rPr/>
      </w:pPr>
      <w:r/>
    </w:p>
    <w:p>
      <w:pPr>
        <w:ind w:left="11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世纪证券有限责任公司</w:t>
      </w:r>
    </w:p>
    <w:p>
      <w:pPr>
        <w:pStyle w:val="BodyText"/>
        <w:spacing w:line="254" w:lineRule="auto"/>
        <w:rPr/>
      </w:pPr>
      <w:r/>
    </w:p>
    <w:p>
      <w:pPr>
        <w:ind w:left="11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8.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东北证券股份有限公司</w:t>
      </w:r>
    </w:p>
    <w:p>
      <w:pPr>
        <w:pStyle w:val="BodyText"/>
        <w:spacing w:line="254" w:lineRule="auto"/>
        <w:rPr/>
      </w:pPr>
      <w:r/>
    </w:p>
    <w:p>
      <w:pPr>
        <w:ind w:left="11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9.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申万宏源证券有限公司</w:t>
      </w:r>
    </w:p>
    <w:p>
      <w:pPr>
        <w:pStyle w:val="BodyText"/>
        <w:spacing w:line="244" w:lineRule="auto"/>
        <w:rPr/>
      </w:pPr>
      <w:r/>
    </w:p>
    <w:p>
      <w:pPr>
        <w:ind w:left="100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10.</w:t>
      </w:r>
      <w:r>
        <w:rPr>
          <w:rFonts w:ascii="SimSun" w:hAnsi="SimSun" w:eastAsia="SimSun" w:cs="SimSun"/>
          <w:sz w:val="31"/>
          <w:szCs w:val="31"/>
          <w:spacing w:val="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申港证券股份有限公司</w:t>
      </w:r>
    </w:p>
    <w:p>
      <w:pPr>
        <w:pStyle w:val="BodyText"/>
        <w:spacing w:line="252" w:lineRule="auto"/>
        <w:rPr/>
      </w:pPr>
      <w:r/>
    </w:p>
    <w:p>
      <w:pPr>
        <w:ind w:left="100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254" w:lineRule="auto"/>
        <w:rPr/>
      </w:pPr>
      <w:r/>
    </w:p>
    <w:p>
      <w:pPr>
        <w:ind w:left="100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12.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245" w:lineRule="auto"/>
        <w:rPr/>
      </w:pPr>
      <w:r/>
    </w:p>
    <w:p>
      <w:pPr>
        <w:ind w:left="100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13.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247" w:lineRule="auto"/>
        <w:rPr/>
      </w:pPr>
      <w:r/>
    </w:p>
    <w:p>
      <w:pPr>
        <w:ind w:left="100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245" w:lineRule="auto"/>
        <w:rPr/>
      </w:pPr>
      <w:r/>
    </w:p>
    <w:p>
      <w:pPr>
        <w:ind w:left="100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244" w:lineRule="auto"/>
        <w:rPr/>
      </w:pPr>
      <w:r/>
    </w:p>
    <w:p>
      <w:pPr>
        <w:ind w:left="100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242" w:lineRule="auto"/>
        <w:rPr/>
      </w:pPr>
      <w:r/>
    </w:p>
    <w:p>
      <w:pPr>
        <w:ind w:left="100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国信证券股份有限公司</w:t>
      </w:r>
    </w:p>
    <w:p>
      <w:pPr>
        <w:pStyle w:val="BodyText"/>
        <w:spacing w:line="247" w:lineRule="auto"/>
        <w:rPr/>
      </w:pPr>
      <w:r/>
    </w:p>
    <w:p>
      <w:pPr>
        <w:ind w:left="100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国海证券股份有限公司</w:t>
      </w:r>
    </w:p>
    <w:p>
      <w:pPr>
        <w:ind w:left="1003"/>
        <w:spacing w:before="3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19. </w:t>
      </w:r>
      <w:r>
        <w:rPr>
          <w:rFonts w:ascii="FangSong" w:hAnsi="FangSong" w:eastAsia="FangSong" w:cs="FangSong"/>
          <w:sz w:val="31"/>
          <w:szCs w:val="31"/>
          <w:spacing w:val="13"/>
        </w:rPr>
        <w:t>国泰海通证券股份有限公司</w:t>
      </w:r>
    </w:p>
    <w:p>
      <w:pPr>
        <w:pStyle w:val="BodyText"/>
        <w:spacing w:line="250" w:lineRule="auto"/>
        <w:rPr/>
      </w:pPr>
      <w:r/>
    </w:p>
    <w:p>
      <w:pPr>
        <w:ind w:left="100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20.</w:t>
      </w:r>
      <w:r>
        <w:rPr>
          <w:rFonts w:ascii="SimSun" w:hAnsi="SimSun" w:eastAsia="SimSun" w:cs="SimSu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第一创业证券股份有限公司</w:t>
      </w:r>
    </w:p>
    <w:p>
      <w:pPr>
        <w:spacing w:line="222" w:lineRule="auto"/>
        <w:sectPr>
          <w:footerReference w:type="default" r:id="rId10"/>
          <w:pgSz w:w="11910" w:h="16840"/>
          <w:pgMar w:top="1431" w:right="1249" w:bottom="1846" w:left="1786" w:header="0" w:footer="152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信息公开选项：主动公开</w:t>
      </w:r>
    </w:p>
    <w:p>
      <w:pPr>
        <w:spacing w:line="212" w:lineRule="exact"/>
        <w:rPr/>
      </w:pPr>
      <w:r/>
    </w:p>
    <w:tbl>
      <w:tblPr>
        <w:tblStyle w:val="TableNormal"/>
        <w:tblW w:w="8722" w:type="dxa"/>
        <w:tblInd w:w="13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22"/>
        <w:gridCol w:w="4400"/>
      </w:tblGrid>
      <w:tr>
        <w:trPr>
          <w:trHeight w:val="649" w:hRule="atLeast"/>
        </w:trPr>
        <w:tc>
          <w:tcPr>
            <w:tcW w:w="43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"/>
              <w:spacing w:before="18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深圳市财政局办公室</w:t>
            </w:r>
          </w:p>
        </w:tc>
        <w:tc>
          <w:tcPr>
            <w:tcW w:w="440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87" w:line="219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2025年11月17日印发</w:t>
            </w:r>
          </w:p>
        </w:tc>
      </w:tr>
    </w:tbl>
    <w:p>
      <w:pPr>
        <w:pStyle w:val="BodyText"/>
        <w:rPr/>
      </w:pPr>
      <w:r/>
    </w:p>
    <w:sectPr>
      <w:footerReference w:type="default" r:id="rId11"/>
      <w:pgSz w:w="11910" w:h="16840"/>
      <w:pgMar w:top="1431" w:right="1327" w:bottom="1774" w:left="1724" w:header="0" w:footer="1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4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7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4"/>
      </w:rPr>
      <w:t>—5</w:t>
    </w:r>
    <w:r>
      <w:rPr>
        <w:rFonts w:ascii="SimSun" w:hAnsi="SimSun" w:eastAsia="SimSun" w:cs="SimSun"/>
        <w:sz w:val="26"/>
        <w:szCs w:val="26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5"/>
      <w:spacing w:line="233" w:lineRule="auto"/>
      <w:rPr>
        <w:rFonts w:ascii="FangSong" w:hAnsi="FangSong" w:eastAsia="FangSong" w:cs="FangSong"/>
        <w:sz w:val="25"/>
        <w:szCs w:val="25"/>
      </w:rPr>
    </w:pPr>
    <w:r>
      <w:rPr>
        <w:rFonts w:ascii="FangSong" w:hAnsi="FangSong" w:eastAsia="FangSong" w:cs="FangSong"/>
        <w:sz w:val="25"/>
        <w:szCs w:val="25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2025-12-23T15:14:43Z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2025-12-23T15:14:44</vt:filetime>
  </property>
  <property fmtid="{D5CDD505-2E9C-101B-9397-08002B2CF9AE}" pid="4" name="UsrData">
    <vt:lpwstr>694a415d24c4ba001fad1a3awl</vt:lpwstr>
  </property>
</Properties>
</file>