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54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04"/>
        <w:spacing w:before="100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以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此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为</w:t>
      </w:r>
      <w:r>
        <w:rPr>
          <w:rFonts w:ascii="SimHei" w:hAnsi="SimHei" w:eastAsia="SimHei" w:cs="SimHei"/>
          <w:sz w:val="31"/>
          <w:szCs w:val="31"/>
          <w:spacing w:val="34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准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94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深财债〔2025〕106号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9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深圳市财政局关于发行2025年深圳市政府</w:t>
      </w:r>
    </w:p>
    <w:p>
      <w:pPr>
        <w:ind w:left="486"/>
        <w:spacing w:before="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4"/>
        </w:rPr>
        <w:t>专项债券(五十七至六十三期)和再融资</w:t>
      </w:r>
    </w:p>
    <w:p>
      <w:pPr>
        <w:ind w:left="1146"/>
        <w:spacing w:before="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20"/>
        </w:rPr>
        <w:t>专项债券(八期)有关事宜的通知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10" w:right="10"/>
        <w:spacing w:before="101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中央国债登记结算有限责任公司、中国证券登记结算有</w:t>
      </w:r>
      <w:r>
        <w:rPr>
          <w:rFonts w:ascii="FangSong" w:hAnsi="FangSong" w:eastAsia="FangSong" w:cs="FangSong"/>
          <w:sz w:val="31"/>
          <w:szCs w:val="31"/>
          <w:spacing w:val="7"/>
        </w:rPr>
        <w:t>限责任公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司、上海证券交易所、深圳证券交易所、北京证券交易所，2024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—2026年深圳市政府债券承销团成员：</w:t>
      </w:r>
    </w:p>
    <w:p>
      <w:pPr>
        <w:ind w:left="10" w:firstLine="649"/>
        <w:spacing w:before="100" w:line="31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行2025年深圳市政府专项债券(五十七至六十三期)和再融资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专项债券(八期)。现就本批债券发行有关事</w:t>
      </w:r>
      <w:r>
        <w:rPr>
          <w:rFonts w:ascii="FangSong" w:hAnsi="FangSong" w:eastAsia="FangSong" w:cs="FangSong"/>
          <w:sz w:val="31"/>
          <w:szCs w:val="31"/>
          <w:spacing w:val="14"/>
        </w:rPr>
        <w:t>宜通知如下。</w:t>
      </w:r>
    </w:p>
    <w:p>
      <w:pPr>
        <w:ind w:left="64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一、发行安排</w:t>
      </w:r>
    </w:p>
    <w:p>
      <w:pPr>
        <w:ind w:right="52" w:firstLine="759"/>
        <w:spacing w:before="210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一</w:t>
      </w:r>
      <w:r>
        <w:rPr>
          <w:rFonts w:ascii="KaiTi" w:hAnsi="KaiTi" w:eastAsia="KaiTi" w:cs="KaiTi"/>
          <w:sz w:val="31"/>
          <w:szCs w:val="31"/>
          <w:spacing w:val="-92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)发行场所</w:t>
      </w:r>
      <w:r>
        <w:rPr>
          <w:rFonts w:ascii="FangSong" w:hAnsi="FangSong" w:eastAsia="FangSong" w:cs="FangSong"/>
          <w:sz w:val="31"/>
          <w:szCs w:val="31"/>
          <w:spacing w:val="8"/>
        </w:rPr>
        <w:t>。通过全国银行间债券市场、证券交易所债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券市场发行。</w:t>
      </w:r>
    </w:p>
    <w:p>
      <w:pPr>
        <w:spacing w:line="314" w:lineRule="auto"/>
        <w:sectPr>
          <w:footerReference w:type="default" r:id="rId1"/>
          <w:pgSz w:w="11910" w:h="16840"/>
          <w:pgMar w:top="1431" w:right="1537" w:bottom="1654" w:left="1450" w:header="0" w:footer="132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285" w:right="461" w:firstLine="759"/>
        <w:spacing w:before="97" w:line="29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3"/>
        </w:rPr>
        <w:t>(二)品种和</w:t>
      </w:r>
      <w:r>
        <w:rPr>
          <w:rFonts w:ascii="FangSong" w:hAnsi="FangSong" w:eastAsia="FangSong" w:cs="FangSong"/>
          <w:sz w:val="30"/>
          <w:szCs w:val="30"/>
          <w:spacing w:val="23"/>
        </w:rPr>
        <w:t>数量。全部为记账式固定利率附</w:t>
      </w:r>
      <w:r>
        <w:rPr>
          <w:rFonts w:ascii="FangSong" w:hAnsi="FangSong" w:eastAsia="FangSong" w:cs="FangSong"/>
          <w:sz w:val="30"/>
          <w:szCs w:val="30"/>
          <w:spacing w:val="22"/>
        </w:rPr>
        <w:t>息债，计划发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行面值总额为104.2823亿元。</w:t>
      </w:r>
    </w:p>
    <w:p>
      <w:pPr>
        <w:ind w:left="325" w:right="335" w:firstLine="719"/>
        <w:spacing w:before="140" w:line="28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37"/>
        </w:rPr>
        <w:t>(三)发行手续费率</w:t>
      </w:r>
      <w:r>
        <w:rPr>
          <w:rFonts w:ascii="FangSong" w:hAnsi="FangSong" w:eastAsia="FangSong" w:cs="FangSong"/>
          <w:sz w:val="30"/>
          <w:szCs w:val="30"/>
          <w:spacing w:val="37"/>
        </w:rPr>
        <w:t>。5年期(含)以上的债券发行手续费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5"/>
        </w:rPr>
        <w:t>率为0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5"/>
        </w:rPr>
        <w:t>.6%;5年期(不含)以下的债券发行手续费率为0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5"/>
        </w:rPr>
        <w:t>.</w:t>
      </w:r>
      <w:r>
        <w:rPr>
          <w:rFonts w:ascii="FangSong" w:hAnsi="FangSong" w:eastAsia="FangSong" w:cs="FangSong"/>
          <w:sz w:val="30"/>
          <w:szCs w:val="30"/>
          <w:spacing w:val="-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5"/>
        </w:rPr>
        <w:t>3‰。</w:t>
      </w:r>
    </w:p>
    <w:p>
      <w:pPr>
        <w:ind w:left="1044"/>
        <w:spacing w:before="20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5"/>
        </w:rPr>
        <w:t>(四)上市安排。本</w:t>
      </w:r>
      <w:r>
        <w:rPr>
          <w:rFonts w:ascii="FangSong" w:hAnsi="FangSong" w:eastAsia="FangSong" w:cs="FangSong"/>
          <w:sz w:val="30"/>
          <w:szCs w:val="30"/>
          <w:spacing w:val="25"/>
        </w:rPr>
        <w:t>期债券按照有关规定进行上市交易。</w:t>
      </w:r>
    </w:p>
    <w:p>
      <w:pPr>
        <w:ind w:left="1044"/>
        <w:spacing w:before="20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(五)债券情况详见下表。</w:t>
      </w:r>
    </w:p>
    <w:p>
      <w:pPr>
        <w:spacing w:line="239" w:lineRule="exact"/>
        <w:rPr/>
      </w:pPr>
      <w:r/>
    </w:p>
    <w:tbl>
      <w:tblPr>
        <w:tblStyle w:val="TableNormal"/>
        <w:tblW w:w="95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4"/>
        <w:gridCol w:w="2158"/>
        <w:gridCol w:w="819"/>
        <w:gridCol w:w="1288"/>
        <w:gridCol w:w="1259"/>
        <w:gridCol w:w="2168"/>
        <w:gridCol w:w="1293"/>
      </w:tblGrid>
      <w:tr>
        <w:trPr>
          <w:trHeight w:val="614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107"/>
              <w:spacing w:before="211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693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15"/>
              <w:spacing w:before="30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215"/>
              <w:spacing w:before="93" w:line="219" w:lineRule="auto"/>
              <w:rPr/>
            </w:pPr>
            <w:r>
              <w:rPr>
                <w:b/>
                <w:bCs/>
                <w:spacing w:val="10"/>
              </w:rPr>
              <w:t>(年)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256" w:right="168" w:hanging="90"/>
              <w:spacing w:before="29" w:line="279" w:lineRule="auto"/>
              <w:rPr/>
            </w:pPr>
            <w:r>
              <w:rPr>
                <w:b/>
                <w:bCs/>
                <w:spacing w:val="-4"/>
              </w:rPr>
              <w:t>计划发行面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值(亿元)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48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付息频率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799"/>
              <w:spacing w:before="210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61"/>
              <w:spacing w:before="209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</w:tr>
      <w:tr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37" w:line="241" w:lineRule="auto"/>
              <w:rPr/>
            </w:pPr>
            <w:r>
              <w:rPr/>
              <w:t>1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37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400"/>
              <w:spacing w:before="95" w:line="219" w:lineRule="auto"/>
              <w:rPr/>
            </w:pPr>
            <w:r>
              <w:rPr>
                <w:spacing w:val="5"/>
              </w:rPr>
              <w:t>债券(五十七期)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52"/>
              <w:spacing w:before="237" w:line="241" w:lineRule="auto"/>
              <w:rPr/>
            </w:pPr>
            <w:r>
              <w:rPr/>
              <w:t>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93"/>
              <w:spacing w:before="237" w:line="239" w:lineRule="auto"/>
              <w:rPr/>
            </w:pPr>
            <w:r>
              <w:rPr>
                <w:spacing w:val="-4"/>
              </w:rPr>
              <w:t>13.05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48" w:line="219" w:lineRule="auto"/>
              <w:rPr/>
            </w:pPr>
            <w:r>
              <w:rPr/>
              <w:t>每年付息一</w:t>
            </w:r>
          </w:p>
          <w:p>
            <w:pPr>
              <w:pStyle w:val="TableText"/>
              <w:ind w:left="525"/>
              <w:spacing w:before="84" w:line="219" w:lineRule="auto"/>
              <w:rPr/>
            </w:pPr>
            <w:r>
              <w:rPr/>
              <w:t>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77"/>
              <w:spacing w:before="28" w:line="219" w:lineRule="auto"/>
              <w:rPr/>
            </w:pPr>
            <w:r>
              <w:rPr>
                <w:spacing w:val="-1"/>
              </w:rPr>
              <w:t>存续期内10月17日(节</w:t>
            </w:r>
          </w:p>
          <w:p>
            <w:pPr>
              <w:pStyle w:val="TableText"/>
              <w:ind w:left="647"/>
              <w:spacing w:before="113" w:line="219" w:lineRule="auto"/>
              <w:rPr/>
            </w:pPr>
            <w:r>
              <w:rPr>
                <w:spacing w:val="9"/>
              </w:rPr>
              <w:t>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38" w:line="277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38" w:line="241" w:lineRule="auto"/>
              <w:rPr/>
            </w:pPr>
            <w:r>
              <w:rPr/>
              <w:t>2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38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400"/>
              <w:spacing w:before="95" w:line="219" w:lineRule="auto"/>
              <w:rPr/>
            </w:pPr>
            <w:r>
              <w:rPr>
                <w:spacing w:val="5"/>
              </w:rPr>
              <w:t>债券(五十八期)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03"/>
              <w:spacing w:before="238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93"/>
              <w:spacing w:before="238" w:line="239" w:lineRule="auto"/>
              <w:rPr/>
            </w:pPr>
            <w:r>
              <w:rPr>
                <w:spacing w:val="-4"/>
              </w:rPr>
              <w:t>1.954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49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8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20" w:line="291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30" w:line="286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39"/>
              <w:rPr/>
            </w:pPr>
            <w:r>
              <w:rPr/>
              <w:t>3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29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400"/>
              <w:spacing w:before="95" w:line="219" w:lineRule="auto"/>
              <w:rPr/>
            </w:pPr>
            <w:r>
              <w:rPr>
                <w:spacing w:val="5"/>
              </w:rPr>
              <w:t>债券(五十九期)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03"/>
              <w:spacing w:before="239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53"/>
              <w:spacing w:before="239" w:line="239" w:lineRule="auto"/>
              <w:rPr/>
            </w:pPr>
            <w:r>
              <w:rPr>
                <w:spacing w:val="-3"/>
              </w:rPr>
              <w:t>11.636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40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8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51" w:line="271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61" w:line="266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40" w:line="241" w:lineRule="auto"/>
              <w:rPr/>
            </w:pPr>
            <w:r>
              <w:rPr/>
              <w:t>4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30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501"/>
              <w:spacing w:before="85" w:line="219" w:lineRule="auto"/>
              <w:rPr/>
            </w:pPr>
            <w:r>
              <w:rPr>
                <w:spacing w:val="5"/>
              </w:rPr>
              <w:t>债券(六十期)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03"/>
              <w:spacing w:before="240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93"/>
              <w:spacing w:before="240" w:line="239" w:lineRule="auto"/>
              <w:rPr/>
            </w:pPr>
            <w:r>
              <w:rPr>
                <w:spacing w:val="-2"/>
              </w:rPr>
              <w:t>4.778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41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7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40" w:line="276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61" w:line="266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928" w:hRule="atLeast"/>
        </w:trPr>
        <w:tc>
          <w:tcPr>
            <w:tcW w:w="60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2"/>
              <w:rPr/>
            </w:pPr>
            <w:r>
              <w:rPr/>
              <w:t>5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181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400"/>
              <w:spacing w:before="95" w:line="219" w:lineRule="auto"/>
              <w:rPr/>
            </w:pPr>
            <w:r>
              <w:rPr>
                <w:spacing w:val="5"/>
              </w:rPr>
              <w:t>债券(六十一期)</w:t>
            </w:r>
          </w:p>
        </w:tc>
        <w:tc>
          <w:tcPr>
            <w:tcW w:w="81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28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62" w:line="239" w:lineRule="auto"/>
              <w:rPr/>
            </w:pPr>
            <w:r>
              <w:rPr>
                <w:spacing w:val="-2"/>
              </w:rPr>
              <w:t>4.55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212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8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193" w:line="302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119"/>
              <w:spacing w:before="53" w:line="219" w:lineRule="auto"/>
              <w:rPr/>
            </w:pPr>
            <w:r>
              <w:rPr>
                <w:spacing w:val="-1"/>
              </w:rPr>
              <w:t>2036-2045年</w:t>
            </w:r>
          </w:p>
          <w:p>
            <w:pPr>
              <w:pStyle w:val="TableText"/>
              <w:ind w:left="169"/>
              <w:spacing w:before="93" w:line="219" w:lineRule="auto"/>
              <w:rPr/>
            </w:pPr>
            <w:r>
              <w:rPr>
                <w:spacing w:val="-2"/>
              </w:rPr>
              <w:t>每年偿还本</w:t>
            </w:r>
          </w:p>
          <w:p>
            <w:pPr>
              <w:pStyle w:val="TableText"/>
              <w:ind w:left="308"/>
              <w:spacing w:before="78" w:line="222" w:lineRule="auto"/>
              <w:rPr/>
            </w:pPr>
            <w:r>
              <w:rPr>
                <w:spacing w:val="-2"/>
              </w:rPr>
              <w:t>金的10%</w:t>
            </w:r>
          </w:p>
        </w:tc>
      </w:tr>
      <w:tr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43"/>
              <w:rPr/>
            </w:pPr>
            <w:r>
              <w:rPr/>
              <w:t>6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33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400"/>
              <w:spacing w:before="115" w:line="219" w:lineRule="auto"/>
              <w:rPr/>
            </w:pPr>
            <w:r>
              <w:rPr>
                <w:spacing w:val="5"/>
              </w:rPr>
              <w:t>债券(六十二期)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03"/>
              <w:spacing w:before="243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53"/>
              <w:spacing w:before="243" w:line="239" w:lineRule="auto"/>
              <w:rPr/>
            </w:pPr>
            <w:r>
              <w:rPr>
                <w:spacing w:val="-2"/>
              </w:rPr>
              <w:t>20.144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55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7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45" w:line="274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55" w:line="269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44"/>
              <w:rPr/>
            </w:pPr>
            <w:r>
              <w:rPr/>
              <w:t>7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/>
              <w:spacing w:before="54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400"/>
              <w:spacing w:before="85" w:line="219" w:lineRule="auto"/>
              <w:rPr/>
            </w:pPr>
            <w:r>
              <w:rPr>
                <w:spacing w:val="5"/>
              </w:rPr>
              <w:t>债券(六十三期)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03"/>
              <w:spacing w:before="244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03"/>
              <w:spacing w:before="244" w:line="239" w:lineRule="auto"/>
              <w:rPr/>
            </w:pPr>
            <w:r>
              <w:rPr>
                <w:spacing w:val="-2"/>
              </w:rPr>
              <w:t>30.6053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46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10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44" w:line="279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65" w:line="269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614" w:hRule="atLeast"/>
        </w:trPr>
        <w:tc>
          <w:tcPr>
            <w:tcW w:w="604" w:type="dxa"/>
            <w:vAlign w:val="top"/>
          </w:tcPr>
          <w:p>
            <w:pPr>
              <w:pStyle w:val="TableText"/>
              <w:ind w:left="244"/>
              <w:spacing w:before="235"/>
              <w:rPr/>
            </w:pPr>
            <w:r>
              <w:rPr/>
              <w:t>8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309" w:right="116" w:hanging="189"/>
              <w:spacing w:before="46" w:line="271" w:lineRule="auto"/>
              <w:rPr/>
            </w:pPr>
            <w:r>
              <w:rPr/>
              <w:t>2025年深圳市政府再融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资专项债券(八期)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03"/>
              <w:spacing w:before="235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53"/>
              <w:spacing w:before="235" w:line="239" w:lineRule="auto"/>
              <w:rPr/>
            </w:pPr>
            <w:r>
              <w:rPr>
                <w:spacing w:val="-3"/>
              </w:rPr>
              <w:t>17.565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5"/>
              <w:spacing w:before="67" w:line="219" w:lineRule="auto"/>
              <w:rPr/>
            </w:pPr>
            <w:r>
              <w:rPr>
                <w:spacing w:val="2"/>
              </w:rPr>
              <w:t>每半年付息</w:t>
            </w:r>
          </w:p>
          <w:p>
            <w:pPr>
              <w:pStyle w:val="TableText"/>
              <w:ind w:left="435"/>
              <w:spacing w:before="7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226" w:right="179" w:hanging="49"/>
              <w:spacing w:before="56" w:line="266" w:lineRule="auto"/>
              <w:rPr/>
            </w:pPr>
            <w:r>
              <w:rPr>
                <w:spacing w:val="-1"/>
              </w:rPr>
              <w:t>存续期内10月17日和4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月17日(节假日顺延)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258" w:right="176" w:hanging="89"/>
              <w:spacing w:before="46" w:line="271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</w:tbl>
    <w:p>
      <w:pPr>
        <w:ind w:left="1049"/>
        <w:spacing w:before="251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二</w:t>
      </w:r>
      <w:r>
        <w:rPr>
          <w:rFonts w:ascii="SimHei" w:hAnsi="SimHei" w:eastAsia="SimHei" w:cs="SimHei"/>
          <w:sz w:val="30"/>
          <w:szCs w:val="30"/>
          <w:spacing w:val="-6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、竞争性招标</w:t>
      </w:r>
    </w:p>
    <w:p>
      <w:pPr>
        <w:ind w:left="504" w:right="483" w:firstLine="539"/>
        <w:spacing w:before="151" w:line="30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2"/>
        </w:rPr>
        <w:t>(一)招标方式。采</w:t>
      </w:r>
      <w:r>
        <w:rPr>
          <w:rFonts w:ascii="FangSong" w:hAnsi="FangSong" w:eastAsia="FangSong" w:cs="FangSong"/>
          <w:sz w:val="30"/>
          <w:szCs w:val="30"/>
          <w:spacing w:val="22"/>
        </w:rPr>
        <w:t>用单一价格荷兰式招标方式，标的</w:t>
      </w:r>
      <w:r>
        <w:rPr>
          <w:rFonts w:ascii="FangSong" w:hAnsi="FangSong" w:eastAsia="FangSong" w:cs="FangSong"/>
          <w:sz w:val="30"/>
          <w:szCs w:val="30"/>
          <w:spacing w:val="21"/>
        </w:rPr>
        <w:t>为利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率，全场最高中标利率为各期债券的票面利率。</w:t>
      </w:r>
    </w:p>
    <w:p>
      <w:pPr>
        <w:ind w:left="504" w:right="237" w:firstLine="779"/>
        <w:spacing w:before="185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(二)时间安排。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2025年10月16日16:00—16:40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为竞争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性招标时间，竞争性招标结束后15分钟内为填制债权托管申请</w:t>
      </w:r>
    </w:p>
    <w:p>
      <w:pPr>
        <w:spacing w:line="290" w:lineRule="auto"/>
        <w:sectPr>
          <w:footerReference w:type="default" r:id="rId2"/>
          <w:pgSz w:w="11910" w:h="16840"/>
          <w:pgMar w:top="1431" w:right="925" w:bottom="1566" w:left="1385" w:header="0" w:footer="125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right="65"/>
        <w:spacing w:before="101" w:line="38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书时间。本期债券10月17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日开始计息，招标结束至缴款日进行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分</w:t>
      </w:r>
      <w:r>
        <w:rPr>
          <w:rFonts w:ascii="FangSong" w:hAnsi="FangSong" w:eastAsia="FangSong" w:cs="FangSong"/>
          <w:sz w:val="25"/>
          <w:szCs w:val="25"/>
          <w:spacing w:val="-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销</w:t>
      </w:r>
      <w:r>
        <w:rPr>
          <w:rFonts w:ascii="FangSong" w:hAnsi="FangSong" w:eastAsia="FangSong" w:cs="FangSong"/>
          <w:sz w:val="25"/>
          <w:szCs w:val="25"/>
          <w:spacing w:val="-3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。</w:t>
      </w:r>
    </w:p>
    <w:p>
      <w:pPr>
        <w:ind w:right="32" w:firstLine="789"/>
        <w:spacing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(三)参与机构。</w:t>
      </w:r>
      <w:r>
        <w:rPr>
          <w:rFonts w:ascii="KaiTi" w:hAnsi="KaiTi" w:eastAsia="KaiTi" w:cs="KaiTi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2024—2026年深圳市政府债券承销团成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员(以下简称承销团成员，名单见附件)有资格参与本次投标。</w:t>
      </w:r>
    </w:p>
    <w:p>
      <w:pPr>
        <w:ind w:right="31" w:firstLine="789"/>
        <w:spacing w:before="21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(四)标位限定。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下同)财政部公布的财政部一中国地方政府债券收益率曲</w:t>
      </w:r>
      <w:r>
        <w:rPr>
          <w:rFonts w:ascii="FangSong" w:hAnsi="FangSong" w:eastAsia="FangSong" w:cs="FangSong"/>
          <w:sz w:val="31"/>
          <w:szCs w:val="31"/>
          <w:spacing w:val="6"/>
        </w:rPr>
        <w:t>线中，2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年期地方政府债券收益率算术平均值下浮4%,10年期地方政府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债券收益率算术平均值下浮10%,15年期地方政府债券收益率算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术平均值下浮9%,20年期地方政府债券收益率算术平均值下浮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8%,30年期地方政府债券收益率算术平均值下浮7%,且不低于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招标日前1至5个工作日财政部公布的财政部-中国国债收益率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曲线中，同年期国债收益率算术平均值；投标标位区间上限为上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述各年期地方政府债券收益率算术平均值上浮</w:t>
      </w:r>
      <w:r>
        <w:rPr>
          <w:rFonts w:ascii="FangSong" w:hAnsi="FangSong" w:eastAsia="FangSong" w:cs="FangSong"/>
          <w:sz w:val="31"/>
          <w:szCs w:val="31"/>
          <w:spacing w:val="12"/>
        </w:rPr>
        <w:t>10%。</w:t>
      </w:r>
    </w:p>
    <w:p>
      <w:pPr>
        <w:ind w:right="87" w:firstLine="789"/>
        <w:spacing w:before="237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2"/>
        </w:rPr>
        <w:t>。深圳市财政局于招标日通过“财政部深圳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证券交易所政府债券发行系统”组织招投标工作。</w:t>
      </w:r>
    </w:p>
    <w:p>
      <w:pPr>
        <w:ind w:left="674"/>
        <w:spacing w:before="199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三、发行款缴纳</w:t>
      </w:r>
    </w:p>
    <w:p>
      <w:pPr>
        <w:ind w:right="20" w:firstLine="680"/>
        <w:spacing w:before="214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承销团成员于2025年10月17日15:00前，按照承销额度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及缴款通知书上确定金额，将发行款通过大额实时支付系统缴入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深圳市财政局指定账户。缴款日期以深圳市财政局指</w:t>
      </w:r>
      <w:r>
        <w:rPr>
          <w:rFonts w:ascii="FangSong" w:hAnsi="FangSong" w:eastAsia="FangSong" w:cs="FangSong"/>
          <w:sz w:val="31"/>
          <w:szCs w:val="31"/>
          <w:spacing w:val="7"/>
        </w:rPr>
        <w:t>定账户收到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款项为准。承销团成员未按时缴付发行款的，按规定将违约金通</w:t>
      </w:r>
    </w:p>
    <w:p>
      <w:pPr>
        <w:spacing w:line="345" w:lineRule="auto"/>
        <w:sectPr>
          <w:footerReference w:type="default" r:id="rId3"/>
          <w:pgSz w:w="11910" w:h="16840"/>
          <w:pgMar w:top="1431" w:right="1362" w:bottom="1834" w:left="1599" w:header="0" w:footer="151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4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过大额实时支付系统缴入深圳市财政局指定账户。</w:t>
      </w:r>
    </w:p>
    <w:p>
      <w:pPr>
        <w:ind w:left="63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</w:rPr>
        <w:t>深圳市财政局收款账户信息：</w:t>
      </w:r>
    </w:p>
    <w:p>
      <w:pPr>
        <w:ind w:left="629"/>
        <w:spacing w:before="23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户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7"/>
        </w:rPr>
        <w:t>名：深圳市财政库款</w:t>
      </w:r>
    </w:p>
    <w:p>
      <w:pPr>
        <w:ind w:left="629"/>
        <w:spacing w:before="21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账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3"/>
        </w:rPr>
        <w:t>号：380100000003271001</w:t>
      </w:r>
    </w:p>
    <w:p>
      <w:pPr>
        <w:ind w:left="629"/>
        <w:spacing w:before="17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开户银行：国家金库深圳分库</w:t>
      </w:r>
    </w:p>
    <w:p>
      <w:pPr>
        <w:ind w:left="629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汇入行行号：011584003008</w:t>
      </w:r>
    </w:p>
    <w:p>
      <w:pPr>
        <w:ind w:right="21" w:firstLine="629"/>
        <w:spacing w:before="213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科目代码、债券简称及资金用途。本批债券录入：市级、科目代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码(其中：五十七期科目代码为105040231,六十三期科目代码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为105040211,其他专项债科目代码均为105040298)、</w:t>
      </w:r>
      <w:r>
        <w:rPr>
          <w:rFonts w:ascii="FangSong" w:hAnsi="FangSong" w:eastAsia="FangSong" w:cs="FangSong"/>
          <w:sz w:val="31"/>
          <w:szCs w:val="31"/>
          <w:spacing w:val="21"/>
        </w:rPr>
        <w:t>25深圳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债10月16日发行款。如未及时缴款，请按照原承销合同要求缴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纳违约金，并录入：市级、1039999、25深圳债**逾期违约金。</w:t>
      </w:r>
    </w:p>
    <w:p>
      <w:pPr>
        <w:ind w:left="634"/>
        <w:spacing w:before="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四、其他</w:t>
      </w:r>
    </w:p>
    <w:p>
      <w:pPr>
        <w:ind w:firstLine="789"/>
        <w:spacing w:before="223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(一)根据《财政部国家税务总局关于地方政府</w:t>
      </w:r>
      <w:r>
        <w:rPr>
          <w:rFonts w:ascii="FangSong" w:hAnsi="FangSong" w:eastAsia="FangSong" w:cs="FangSong"/>
          <w:sz w:val="31"/>
          <w:szCs w:val="31"/>
          <w:spacing w:val="26"/>
        </w:rPr>
        <w:t>债券利息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和个人取得的深圳市政府债券利息所得，免征</w:t>
      </w:r>
      <w:r>
        <w:rPr>
          <w:rFonts w:ascii="FangSong" w:hAnsi="FangSong" w:eastAsia="FangSong" w:cs="FangSong"/>
          <w:sz w:val="31"/>
          <w:szCs w:val="31"/>
          <w:spacing w:val="6"/>
        </w:rPr>
        <w:t>企业所得税和个人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所得税。</w:t>
      </w:r>
    </w:p>
    <w:p>
      <w:pPr>
        <w:ind w:right="12" w:firstLine="799"/>
        <w:spacing w:before="234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关于印发《深圳市政府债券招标发行和兑付办法〉的通知》(深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财库〔2023〕77号)规定执行。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629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附件：2024-2026年深圳市政府债券承销团成员名单</w:t>
      </w:r>
    </w:p>
    <w:p>
      <w:pPr>
        <w:spacing w:line="221" w:lineRule="auto"/>
        <w:sectPr>
          <w:footerReference w:type="default" r:id="rId4"/>
          <w:pgSz w:w="12070" w:h="16950"/>
          <w:pgMar w:top="1440" w:right="1357" w:bottom="1856" w:left="1810" w:header="0" w:footer="154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513"/>
        <w:spacing w:before="104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8"/>
        </w:rPr>
        <w:t>(此页无正文)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51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3120053</wp:posOffset>
            </wp:positionH>
            <wp:positionV relativeFrom="paragraph">
              <wp:posOffset>-364445</wp:posOffset>
            </wp:positionV>
            <wp:extent cx="1549400" cy="153674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0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3"/>
        </w:rPr>
        <w:t>深圳市财政局</w:t>
      </w:r>
    </w:p>
    <w:p>
      <w:pPr>
        <w:pStyle w:val="BodyText"/>
        <w:spacing w:line="314" w:lineRule="auto"/>
        <w:rPr/>
      </w:pPr>
      <w:r/>
    </w:p>
    <w:p>
      <w:pPr>
        <w:ind w:left="501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8"/>
        </w:rPr>
        <w:t>2025年10月8日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(联系人：林靖，联系电话：83938727)</w:t>
      </w:r>
    </w:p>
    <w:p>
      <w:pPr>
        <w:spacing w:line="222" w:lineRule="auto"/>
        <w:sectPr>
          <w:footerReference w:type="default" r:id="rId5"/>
          <w:pgSz w:w="11910" w:h="16840"/>
          <w:pgMar w:top="1431" w:right="1437" w:bottom="1816" w:left="1786" w:header="0" w:footer="15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附件</w:t>
      </w:r>
    </w:p>
    <w:p>
      <w:pPr>
        <w:pStyle w:val="BodyText"/>
        <w:spacing w:line="463" w:lineRule="auto"/>
        <w:rPr/>
      </w:pPr>
      <w:r/>
    </w:p>
    <w:p>
      <w:pPr>
        <w:ind w:left="3581" w:right="530" w:hanging="2670"/>
        <w:spacing w:before="143" w:line="23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4"/>
        </w:rPr>
        <w:t>2024-2026年深圳市政府债券承销团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820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一</w:t>
      </w:r>
      <w:r>
        <w:rPr>
          <w:rFonts w:ascii="SimHei" w:hAnsi="SimHei" w:eastAsia="SimHei" w:cs="SimHei"/>
          <w:sz w:val="31"/>
          <w:szCs w:val="31"/>
          <w:spacing w:val="-7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、银行机构</w:t>
      </w:r>
    </w:p>
    <w:p>
      <w:pPr>
        <w:pStyle w:val="BodyText"/>
        <w:spacing w:line="272" w:lineRule="auto"/>
        <w:rPr/>
      </w:pPr>
      <w:r/>
    </w:p>
    <w:p>
      <w:pPr>
        <w:ind w:left="830"/>
        <w:spacing w:before="101" w:line="224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9"/>
        </w:rPr>
        <w:t>(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9"/>
        </w:rPr>
        <w:t>一)主承销商</w:t>
      </w:r>
    </w:p>
    <w:p>
      <w:pPr>
        <w:pStyle w:val="BodyText"/>
        <w:spacing w:line="245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1. </w:t>
      </w:r>
      <w:r>
        <w:rPr>
          <w:rFonts w:ascii="FangSong" w:hAnsi="FangSong" w:eastAsia="FangSong" w:cs="FangSong"/>
          <w:sz w:val="31"/>
          <w:szCs w:val="31"/>
          <w:spacing w:val="11"/>
        </w:rPr>
        <w:t>中国工商银行股份有限公司</w:t>
      </w:r>
    </w:p>
    <w:p>
      <w:pPr>
        <w:pStyle w:val="BodyText"/>
        <w:spacing w:line="27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2.</w:t>
      </w:r>
      <w:r>
        <w:rPr>
          <w:rFonts w:ascii="SimSun" w:hAnsi="SimSun" w:eastAsia="SimSun" w:cs="SimSun"/>
          <w:sz w:val="31"/>
          <w:szCs w:val="31"/>
          <w:spacing w:val="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中国农业银行股份有限公司</w:t>
      </w:r>
    </w:p>
    <w:p>
      <w:pPr>
        <w:pStyle w:val="BodyText"/>
        <w:spacing w:line="29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中国银行股份有限公司</w:t>
      </w:r>
    </w:p>
    <w:p>
      <w:pPr>
        <w:pStyle w:val="BodyText"/>
        <w:spacing w:line="27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4.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中国建设银行股份有限公司</w:t>
      </w:r>
    </w:p>
    <w:p>
      <w:pPr>
        <w:pStyle w:val="BodyText"/>
        <w:spacing w:line="28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中信银行股份有限公司</w:t>
      </w:r>
    </w:p>
    <w:p>
      <w:pPr>
        <w:pStyle w:val="BodyText"/>
        <w:spacing w:line="27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6.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交通银行股份有限公司</w:t>
      </w:r>
    </w:p>
    <w:p>
      <w:pPr>
        <w:pStyle w:val="BodyText"/>
        <w:spacing w:line="296" w:lineRule="auto"/>
        <w:rPr/>
      </w:pPr>
      <w:r/>
    </w:p>
    <w:p>
      <w:pPr>
        <w:ind w:left="905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7.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兴业银行股份有限公司</w:t>
      </w:r>
    </w:p>
    <w:p>
      <w:pPr>
        <w:pStyle w:val="BodyText"/>
        <w:spacing w:line="26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8.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招商银行股份有限公司</w:t>
      </w:r>
    </w:p>
    <w:p>
      <w:pPr>
        <w:pStyle w:val="BodyText"/>
        <w:spacing w:line="334" w:lineRule="auto"/>
        <w:rPr/>
      </w:pPr>
      <w:r/>
    </w:p>
    <w:p>
      <w:pPr>
        <w:ind w:left="890"/>
        <w:spacing w:before="101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8"/>
        </w:rPr>
        <w:t>(二)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8"/>
        </w:rPr>
        <w:t>一般成员</w:t>
      </w:r>
    </w:p>
    <w:p>
      <w:pPr>
        <w:ind w:left="909"/>
        <w:spacing w:before="336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1.</w:t>
      </w:r>
      <w:r>
        <w:rPr>
          <w:rFonts w:ascii="SimSun" w:hAnsi="SimSun" w:eastAsia="SimSun" w:cs="SimSun"/>
          <w:sz w:val="31"/>
          <w:szCs w:val="31"/>
          <w:spacing w:val="137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上海浦东发展银行股份有限公司</w:t>
      </w:r>
    </w:p>
    <w:p>
      <w:pPr>
        <w:spacing w:line="221" w:lineRule="auto"/>
        <w:sectPr>
          <w:footerReference w:type="default" r:id="rId7"/>
          <w:pgSz w:w="11910" w:h="16840"/>
          <w:pgMar w:top="1431" w:right="1786" w:bottom="1746" w:left="1684" w:header="0" w:footer="142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2.</w:t>
      </w:r>
      <w:r>
        <w:rPr>
          <w:rFonts w:ascii="SimSun" w:hAnsi="SimSun" w:eastAsia="SimSun" w:cs="SimSun"/>
          <w:sz w:val="32"/>
          <w:szCs w:val="32"/>
          <w:spacing w:val="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上海银行股份有限公司</w:t>
      </w:r>
    </w:p>
    <w:p>
      <w:pPr>
        <w:pStyle w:val="BodyText"/>
        <w:spacing w:line="271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3.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广东华兴银行股份有限公司</w:t>
      </w:r>
    </w:p>
    <w:p>
      <w:pPr>
        <w:pStyle w:val="BodyText"/>
        <w:spacing w:line="291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4.</w:t>
      </w:r>
      <w:r>
        <w:rPr>
          <w:rFonts w:ascii="SimSun" w:hAnsi="SimSun" w:eastAsia="SimSun" w:cs="SimSun"/>
          <w:sz w:val="32"/>
          <w:szCs w:val="32"/>
          <w:spacing w:val="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广发银行股份有限公司</w:t>
      </w:r>
    </w:p>
    <w:p>
      <w:pPr>
        <w:pStyle w:val="BodyText"/>
        <w:spacing w:line="271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5.</w:t>
      </w:r>
      <w:r>
        <w:rPr>
          <w:rFonts w:ascii="SimSun" w:hAnsi="SimSun" w:eastAsia="SimSun" w:cs="SimSun"/>
          <w:sz w:val="32"/>
          <w:szCs w:val="32"/>
          <w:spacing w:val="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广州银行股份有限公司</w:t>
      </w:r>
    </w:p>
    <w:p>
      <w:pPr>
        <w:pStyle w:val="BodyText"/>
        <w:spacing w:line="281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6.</w:t>
      </w:r>
      <w:r>
        <w:rPr>
          <w:rFonts w:ascii="SimSun" w:hAnsi="SimSun" w:eastAsia="SimSun" w:cs="SimSun"/>
          <w:sz w:val="32"/>
          <w:szCs w:val="32"/>
          <w:spacing w:val="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天津银行股份有限公司</w:t>
      </w:r>
    </w:p>
    <w:p>
      <w:pPr>
        <w:pStyle w:val="BodyText"/>
        <w:spacing w:line="290" w:lineRule="auto"/>
        <w:rPr/>
      </w:pPr>
      <w:r/>
    </w:p>
    <w:p>
      <w:pPr>
        <w:ind w:left="60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7.</w:t>
      </w:r>
      <w:r>
        <w:rPr>
          <w:rFonts w:ascii="SimSun" w:hAnsi="SimSun" w:eastAsia="SimSun" w:cs="SimSun"/>
          <w:sz w:val="32"/>
          <w:szCs w:val="32"/>
          <w:spacing w:val="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中国民生银行股份有限公司</w:t>
      </w:r>
    </w:p>
    <w:p>
      <w:pPr>
        <w:pStyle w:val="BodyText"/>
        <w:spacing w:line="261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8. </w:t>
      </w:r>
      <w:r>
        <w:rPr>
          <w:rFonts w:ascii="FangSong" w:hAnsi="FangSong" w:eastAsia="FangSong" w:cs="FangSong"/>
          <w:sz w:val="32"/>
          <w:szCs w:val="32"/>
          <w:spacing w:val="7"/>
        </w:rPr>
        <w:t>中国光大银行股份有限公司</w:t>
      </w:r>
    </w:p>
    <w:p>
      <w:pPr>
        <w:pStyle w:val="BodyText"/>
        <w:spacing w:line="291" w:lineRule="auto"/>
        <w:rPr/>
      </w:pPr>
      <w:r/>
    </w:p>
    <w:p>
      <w:pPr>
        <w:ind w:left="60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9.</w:t>
      </w:r>
      <w:r>
        <w:rPr>
          <w:rFonts w:ascii="SimSun" w:hAnsi="SimSun" w:eastAsia="SimSun" w:cs="SimSun"/>
          <w:sz w:val="32"/>
          <w:szCs w:val="32"/>
          <w:spacing w:val="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中原银行股份有限公司</w:t>
      </w:r>
    </w:p>
    <w:p>
      <w:pPr>
        <w:pStyle w:val="BodyText"/>
        <w:spacing w:line="271" w:lineRule="auto"/>
        <w:rPr/>
      </w:pPr>
      <w:r/>
    </w:p>
    <w:p>
      <w:pPr>
        <w:ind w:left="4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10.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平安银行股份有限公司</w:t>
      </w:r>
    </w:p>
    <w:p>
      <w:pPr>
        <w:pStyle w:val="BodyText"/>
        <w:spacing w:line="271" w:lineRule="auto"/>
        <w:rPr/>
      </w:pPr>
      <w:r/>
    </w:p>
    <w:p>
      <w:pPr>
        <w:ind w:left="4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11.</w:t>
      </w:r>
      <w:r>
        <w:rPr>
          <w:rFonts w:ascii="SimSun" w:hAnsi="SimSun" w:eastAsia="SimSun" w:cs="SimSun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北京银行股份有限公司</w:t>
      </w:r>
    </w:p>
    <w:p>
      <w:pPr>
        <w:pStyle w:val="BodyText"/>
        <w:spacing w:line="271" w:lineRule="auto"/>
        <w:rPr/>
      </w:pPr>
      <w:r/>
    </w:p>
    <w:p>
      <w:pPr>
        <w:ind w:left="47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12.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宁波银行股份有限公司</w:t>
      </w:r>
    </w:p>
    <w:p>
      <w:pPr>
        <w:pStyle w:val="BodyText"/>
        <w:spacing w:line="271" w:lineRule="auto"/>
        <w:rPr/>
      </w:pPr>
      <w:r/>
    </w:p>
    <w:p>
      <w:pPr>
        <w:ind w:left="4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13.</w:t>
      </w:r>
      <w:r>
        <w:rPr>
          <w:rFonts w:ascii="SimSun" w:hAnsi="SimSun" w:eastAsia="SimSun" w:cs="SimSun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华夏银行股份有限公司</w:t>
      </w:r>
    </w:p>
    <w:p>
      <w:pPr>
        <w:pStyle w:val="BodyText"/>
        <w:spacing w:line="271" w:lineRule="auto"/>
        <w:rPr/>
      </w:pPr>
      <w:r/>
    </w:p>
    <w:p>
      <w:pPr>
        <w:ind w:left="4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14.</w:t>
      </w:r>
      <w:r>
        <w:rPr>
          <w:rFonts w:ascii="SimSun" w:hAnsi="SimSun" w:eastAsia="SimSun" w:cs="SimSun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江苏银行股份有限公司</w:t>
      </w:r>
    </w:p>
    <w:p>
      <w:pPr>
        <w:pStyle w:val="BodyText"/>
        <w:spacing w:line="271" w:lineRule="auto"/>
        <w:rPr/>
      </w:pPr>
      <w:r/>
    </w:p>
    <w:p>
      <w:pPr>
        <w:ind w:left="4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15.</w:t>
      </w:r>
      <w:r>
        <w:rPr>
          <w:rFonts w:ascii="SimSun" w:hAnsi="SimSun" w:eastAsia="SimSun" w:cs="SimSun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pStyle w:val="BodyText"/>
        <w:spacing w:line="281" w:lineRule="auto"/>
        <w:rPr/>
      </w:pPr>
      <w:r/>
    </w:p>
    <w:p>
      <w:pPr>
        <w:ind w:left="47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16.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国家开发银行</w:t>
      </w:r>
    </w:p>
    <w:p>
      <w:pPr>
        <w:pStyle w:val="BodyText"/>
        <w:spacing w:line="261" w:lineRule="auto"/>
        <w:rPr/>
      </w:pPr>
      <w:r/>
    </w:p>
    <w:p>
      <w:pPr>
        <w:ind w:left="47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2"/>
        </w:rPr>
        <w:t>17. </w:t>
      </w:r>
      <w:r>
        <w:rPr>
          <w:rFonts w:ascii="FangSong" w:hAnsi="FangSong" w:eastAsia="FangSong" w:cs="FangSong"/>
          <w:sz w:val="32"/>
          <w:szCs w:val="32"/>
          <w:spacing w:val="22"/>
        </w:rPr>
        <w:t>星展银行(中国)有限公司</w:t>
      </w:r>
    </w:p>
    <w:p>
      <w:pPr>
        <w:spacing w:line="221" w:lineRule="auto"/>
        <w:sectPr>
          <w:footerReference w:type="default" r:id="rId8"/>
          <w:pgSz w:w="11910" w:h="16840"/>
          <w:pgMar w:top="1431" w:right="1427" w:bottom="1836" w:left="1786" w:header="0" w:footer="152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54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 </w:t>
      </w:r>
      <w:r>
        <w:rPr>
          <w:rFonts w:ascii="FangSong" w:hAnsi="FangSong" w:eastAsia="FangSong" w:cs="FangSong"/>
          <w:sz w:val="31"/>
          <w:szCs w:val="31"/>
          <w:spacing w:val="5"/>
        </w:rPr>
        <w:t>恒丰银行股份有限公司</w:t>
      </w:r>
    </w:p>
    <w:p>
      <w:pPr>
        <w:pStyle w:val="BodyText"/>
        <w:spacing w:line="276" w:lineRule="auto"/>
        <w:rPr/>
      </w:pPr>
      <w:r/>
    </w:p>
    <w:p>
      <w:pPr>
        <w:ind w:left="55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珠海华润银行股份有限公司</w:t>
      </w:r>
    </w:p>
    <w:p>
      <w:pPr>
        <w:pStyle w:val="BodyText"/>
        <w:spacing w:line="276" w:lineRule="auto"/>
        <w:rPr/>
      </w:pPr>
      <w:r/>
    </w:p>
    <w:p>
      <w:pPr>
        <w:ind w:left="55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20.</w:t>
      </w:r>
      <w:r>
        <w:rPr>
          <w:rFonts w:ascii="SimSun" w:hAnsi="SimSun" w:eastAsia="SimSun" w:cs="SimSun"/>
          <w:sz w:val="31"/>
          <w:szCs w:val="31"/>
          <w:spacing w:val="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浙商银行股份有限公司</w:t>
      </w:r>
    </w:p>
    <w:p>
      <w:pPr>
        <w:pStyle w:val="BodyText"/>
        <w:spacing w:line="266" w:lineRule="auto"/>
        <w:rPr/>
      </w:pPr>
      <w:r/>
    </w:p>
    <w:p>
      <w:pPr>
        <w:ind w:left="55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21.</w:t>
      </w:r>
      <w:r>
        <w:rPr>
          <w:rFonts w:ascii="SimSun" w:hAnsi="SimSun" w:eastAsia="SimSun" w:cs="SimSun"/>
          <w:sz w:val="31"/>
          <w:szCs w:val="31"/>
          <w:spacing w:val="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深圳农村商业银行股份有限公司</w:t>
      </w:r>
    </w:p>
    <w:p>
      <w:pPr>
        <w:pStyle w:val="BodyText"/>
        <w:spacing w:line="296" w:lineRule="auto"/>
        <w:rPr/>
      </w:pPr>
      <w:r/>
    </w:p>
    <w:p>
      <w:pPr>
        <w:ind w:left="55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22.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渤海银行股份有限公司</w:t>
      </w:r>
    </w:p>
    <w:p>
      <w:pPr>
        <w:pStyle w:val="BodyText"/>
        <w:spacing w:line="286" w:lineRule="auto"/>
        <w:rPr/>
      </w:pPr>
      <w:r/>
    </w:p>
    <w:p>
      <w:pPr>
        <w:ind w:left="55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23.</w:t>
      </w:r>
      <w:r>
        <w:rPr>
          <w:rFonts w:ascii="SimSun" w:hAnsi="SimSun" w:eastAsia="SimSun" w:cs="SimSun"/>
          <w:sz w:val="31"/>
          <w:szCs w:val="31"/>
          <w:spacing w:val="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富邦华一银行有限公司</w:t>
      </w:r>
    </w:p>
    <w:p>
      <w:pPr>
        <w:pStyle w:val="BodyText"/>
        <w:spacing w:line="286" w:lineRule="auto"/>
        <w:rPr/>
      </w:pPr>
      <w:r/>
    </w:p>
    <w:p>
      <w:pPr>
        <w:ind w:left="55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24.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徽商银行股份有限公司</w:t>
      </w:r>
    </w:p>
    <w:p>
      <w:pPr>
        <w:pStyle w:val="BodyText"/>
        <w:spacing w:line="326" w:lineRule="auto"/>
        <w:rPr/>
      </w:pPr>
      <w:r/>
    </w:p>
    <w:p>
      <w:pPr>
        <w:ind w:left="717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二</w:t>
      </w:r>
      <w:r>
        <w:rPr>
          <w:rFonts w:ascii="SimHei" w:hAnsi="SimHei" w:eastAsia="SimHei" w:cs="SimHei"/>
          <w:sz w:val="31"/>
          <w:szCs w:val="31"/>
          <w:spacing w:val="-8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、证券机构</w:t>
      </w:r>
    </w:p>
    <w:p>
      <w:pPr>
        <w:pStyle w:val="BodyText"/>
        <w:spacing w:line="244" w:lineRule="auto"/>
        <w:rPr/>
      </w:pPr>
      <w:r/>
    </w:p>
    <w:p>
      <w:pPr>
        <w:ind w:left="723"/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22"/>
        </w:rPr>
        <w:t>一)主承销商</w:t>
      </w:r>
    </w:p>
    <w:p>
      <w:pPr>
        <w:ind w:left="623"/>
        <w:spacing w:before="3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1.</w:t>
      </w:r>
      <w:r>
        <w:rPr>
          <w:rFonts w:ascii="SimSun" w:hAnsi="SimSun" w:eastAsia="SimSun" w:cs="SimSun"/>
          <w:sz w:val="31"/>
          <w:szCs w:val="31"/>
          <w:spacing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中国国际金融股份有限公司</w:t>
      </w:r>
    </w:p>
    <w:p>
      <w:pPr>
        <w:pStyle w:val="BodyText"/>
        <w:spacing w:line="252" w:lineRule="auto"/>
        <w:rPr/>
      </w:pPr>
      <w:r/>
    </w:p>
    <w:p>
      <w:pPr>
        <w:ind w:left="62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2.</w:t>
      </w:r>
      <w:r>
        <w:rPr>
          <w:rFonts w:ascii="SimSun" w:hAnsi="SimSun" w:eastAsia="SimSun" w:cs="SimSun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中信证券股份有限公司</w:t>
      </w:r>
    </w:p>
    <w:p>
      <w:pPr>
        <w:pStyle w:val="BodyText"/>
        <w:spacing w:line="247" w:lineRule="auto"/>
        <w:rPr/>
      </w:pPr>
      <w:r/>
    </w:p>
    <w:p>
      <w:pPr>
        <w:ind w:left="62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</w:t>
      </w:r>
      <w:r>
        <w:rPr>
          <w:rFonts w:ascii="SimSun" w:hAnsi="SimSun" w:eastAsia="SimSun" w:cs="SimSun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东方证券股份有限公司</w:t>
      </w:r>
    </w:p>
    <w:p>
      <w:pPr>
        <w:pStyle w:val="BodyText"/>
        <w:spacing w:line="264" w:lineRule="auto"/>
        <w:rPr/>
      </w:pPr>
      <w:r/>
    </w:p>
    <w:p>
      <w:pPr>
        <w:ind w:left="763"/>
        <w:spacing w:before="102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(二)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3"/>
        </w:rPr>
        <w:t>一般成员</w:t>
      </w:r>
    </w:p>
    <w:p>
      <w:pPr>
        <w:ind w:left="623"/>
        <w:spacing w:before="29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1.</w:t>
      </w:r>
      <w:r>
        <w:rPr>
          <w:rFonts w:ascii="SimSun" w:hAnsi="SimSun" w:eastAsia="SimSun" w:cs="SimSun"/>
          <w:sz w:val="31"/>
          <w:szCs w:val="31"/>
          <w:spacing w:val="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万和证券股份有限公司</w:t>
      </w:r>
    </w:p>
    <w:p>
      <w:pPr>
        <w:pStyle w:val="BodyText"/>
        <w:spacing w:line="254" w:lineRule="auto"/>
        <w:rPr/>
      </w:pPr>
      <w:r/>
    </w:p>
    <w:p>
      <w:pPr>
        <w:ind w:left="62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2.</w:t>
      </w:r>
      <w:r>
        <w:rPr>
          <w:rFonts w:ascii="SimSun" w:hAnsi="SimSun" w:eastAsia="SimSun" w:cs="SimSun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万联证券股份有限公司</w:t>
      </w:r>
    </w:p>
    <w:p>
      <w:pPr>
        <w:pStyle w:val="BodyText"/>
        <w:spacing w:line="245" w:lineRule="auto"/>
        <w:rPr/>
      </w:pPr>
      <w:r/>
    </w:p>
    <w:p>
      <w:pPr>
        <w:ind w:left="62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3.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五矿证券有限公司</w:t>
      </w:r>
    </w:p>
    <w:p>
      <w:pPr>
        <w:pStyle w:val="BodyText"/>
        <w:spacing w:line="245" w:lineRule="auto"/>
        <w:rPr/>
      </w:pPr>
      <w:r/>
    </w:p>
    <w:p>
      <w:pPr>
        <w:ind w:left="62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4.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中国银河证券股份有限公司</w:t>
      </w:r>
    </w:p>
    <w:p>
      <w:pPr>
        <w:spacing w:line="222" w:lineRule="auto"/>
        <w:sectPr>
          <w:footerReference w:type="default" r:id="rId9"/>
          <w:pgSz w:w="11910" w:h="16840"/>
          <w:pgMar w:top="1431" w:right="1786" w:bottom="1746" w:left="1786" w:header="0" w:footer="143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58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5. </w:t>
      </w:r>
      <w:r>
        <w:rPr>
          <w:rFonts w:ascii="FangSong" w:hAnsi="FangSong" w:eastAsia="FangSong" w:cs="FangSong"/>
          <w:sz w:val="32"/>
          <w:szCs w:val="32"/>
          <w:spacing w:val="2"/>
        </w:rPr>
        <w:t>中银国际证券股份有限公司</w:t>
      </w:r>
    </w:p>
    <w:p>
      <w:pPr>
        <w:ind w:left="583"/>
        <w:spacing w:before="34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6. </w:t>
      </w:r>
      <w:r>
        <w:rPr>
          <w:rFonts w:ascii="FangSong" w:hAnsi="FangSong" w:eastAsia="FangSong" w:cs="FangSong"/>
          <w:sz w:val="32"/>
          <w:szCs w:val="32"/>
          <w:spacing w:val="1"/>
        </w:rPr>
        <w:t>长城证券股份有限公司</w:t>
      </w:r>
    </w:p>
    <w:p>
      <w:pPr>
        <w:ind w:left="58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7. </w:t>
      </w:r>
      <w:r>
        <w:rPr>
          <w:rFonts w:ascii="FangSong" w:hAnsi="FangSong" w:eastAsia="FangSong" w:cs="FangSong"/>
          <w:sz w:val="32"/>
          <w:szCs w:val="32"/>
          <w:spacing w:val="1"/>
        </w:rPr>
        <w:t>世纪证券有限责任公司</w:t>
      </w:r>
    </w:p>
    <w:p>
      <w:pPr>
        <w:pStyle w:val="BodyText"/>
        <w:spacing w:line="249" w:lineRule="auto"/>
        <w:rPr/>
      </w:pPr>
      <w:r/>
    </w:p>
    <w:p>
      <w:pPr>
        <w:ind w:left="58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8. </w:t>
      </w:r>
      <w:r>
        <w:rPr>
          <w:rFonts w:ascii="FangSong" w:hAnsi="FangSong" w:eastAsia="FangSong" w:cs="FangSong"/>
          <w:sz w:val="32"/>
          <w:szCs w:val="32"/>
          <w:spacing w:val="1"/>
        </w:rPr>
        <w:t>东北证券股份有限公司</w:t>
      </w:r>
    </w:p>
    <w:p>
      <w:pPr>
        <w:ind w:left="58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9. </w:t>
      </w:r>
      <w:r>
        <w:rPr>
          <w:rFonts w:ascii="FangSong" w:hAnsi="FangSong" w:eastAsia="FangSong" w:cs="FangSong"/>
          <w:sz w:val="32"/>
          <w:szCs w:val="32"/>
          <w:spacing w:val="4"/>
        </w:rPr>
        <w:t>申万宏源证券有限公司</w:t>
      </w:r>
    </w:p>
    <w:p>
      <w:pPr>
        <w:ind w:left="37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10.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申港证券股份有限公司</w:t>
      </w:r>
    </w:p>
    <w:p>
      <w:pPr>
        <w:pStyle w:val="BodyText"/>
        <w:spacing w:line="247" w:lineRule="auto"/>
        <w:rPr/>
      </w:pPr>
      <w:r/>
    </w:p>
    <w:p>
      <w:pPr>
        <w:ind w:left="37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11.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华创证券有限责任公司</w:t>
      </w:r>
    </w:p>
    <w:p>
      <w:pPr>
        <w:ind w:left="37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12.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华泰证券股份有限公司</w:t>
      </w:r>
    </w:p>
    <w:p>
      <w:pPr>
        <w:ind w:left="37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13.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华福证券有限责任公司</w:t>
      </w:r>
    </w:p>
    <w:p>
      <w:pPr>
        <w:ind w:left="373"/>
        <w:spacing w:before="33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14.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兴业证券股份有限公司</w:t>
      </w:r>
    </w:p>
    <w:p>
      <w:pPr>
        <w:ind w:left="37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15.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招商证券股份有限公司</w:t>
      </w:r>
    </w:p>
    <w:p>
      <w:pPr>
        <w:ind w:left="373"/>
        <w:spacing w:before="34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16.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英大证券有限责任公司</w:t>
      </w:r>
    </w:p>
    <w:p>
      <w:pPr>
        <w:ind w:left="373"/>
        <w:spacing w:before="33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17.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国信证券股份有限公司</w:t>
      </w:r>
    </w:p>
    <w:p>
      <w:pPr>
        <w:ind w:left="373"/>
        <w:spacing w:before="33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18.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国海证券股份有限公司</w:t>
      </w:r>
    </w:p>
    <w:p>
      <w:pPr>
        <w:ind w:left="363"/>
        <w:spacing w:before="34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19.</w:t>
      </w:r>
      <w:r>
        <w:rPr>
          <w:rFonts w:ascii="SimSun" w:hAnsi="SimSun" w:eastAsia="SimSun" w:cs="SimSun"/>
          <w:sz w:val="32"/>
          <w:szCs w:val="32"/>
          <w:spacing w:val="10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国泰海通证券股份有限公司</w:t>
      </w:r>
    </w:p>
    <w:p>
      <w:pPr>
        <w:ind w:left="587" w:right="3823" w:hanging="214"/>
        <w:spacing w:before="334" w:line="3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20.</w:t>
      </w:r>
      <w:r>
        <w:rPr>
          <w:rFonts w:ascii="SimSun" w:hAnsi="SimSun" w:eastAsia="SimSun" w:cs="SimSun"/>
          <w:sz w:val="32"/>
          <w:szCs w:val="32"/>
          <w:spacing w:val="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第一创业证券股份有限公司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9"/>
        </w:rPr>
        <w:t>(以上排名不分先后)</w:t>
      </w:r>
    </w:p>
    <w:p>
      <w:pPr>
        <w:spacing w:line="315" w:lineRule="auto"/>
        <w:sectPr>
          <w:footerReference w:type="default" r:id="rId10"/>
          <w:pgSz w:w="11910" w:h="16840"/>
          <w:pgMar w:top="1431" w:right="1362" w:bottom="1864" w:left="1786" w:header="0" w:footer="154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信息公开选项：主动公开</w:t>
      </w:r>
    </w:p>
    <w:p>
      <w:pPr>
        <w:spacing w:before="41"/>
        <w:rPr/>
      </w:pPr>
      <w:r/>
    </w:p>
    <w:tbl>
      <w:tblPr>
        <w:tblStyle w:val="TableNormal"/>
        <w:tblW w:w="8592" w:type="dxa"/>
        <w:tblInd w:w="13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28"/>
        <w:gridCol w:w="4264"/>
      </w:tblGrid>
      <w:tr>
        <w:trPr>
          <w:trHeight w:val="639" w:hRule="atLeast"/>
        </w:trPr>
        <w:tc>
          <w:tcPr>
            <w:tcW w:w="432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"/>
              <w:spacing w:before="17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深圳市财政局办公室</w:t>
            </w:r>
          </w:p>
        </w:tc>
        <w:tc>
          <w:tcPr>
            <w:tcW w:w="42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77" w:line="219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2025年10月9日印发</w:t>
            </w:r>
          </w:p>
        </w:tc>
      </w:tr>
    </w:tbl>
    <w:p>
      <w:pPr>
        <w:pStyle w:val="BodyText"/>
        <w:rPr/>
      </w:pPr>
      <w:r/>
    </w:p>
    <w:sectPr>
      <w:footerReference w:type="default" r:id="rId11"/>
      <w:pgSz w:w="11910" w:h="16840"/>
      <w:pgMar w:top="1431" w:right="1467" w:bottom="1924" w:left="1710" w:header="0" w:footer="16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5"/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5"/>
      <w:spacing w:line="233" w:lineRule="auto"/>
      <w:rPr>
        <w:rFonts w:ascii="FangSong" w:hAnsi="FangSong" w:eastAsia="FangSong" w:cs="FangSong"/>
        <w:sz w:val="25"/>
        <w:szCs w:val="25"/>
      </w:rPr>
    </w:pPr>
    <w:r>
      <w:rPr>
        <w:rFonts w:ascii="FangSong" w:hAnsi="FangSong" w:eastAsia="FangSong" w:cs="FangSong"/>
        <w:sz w:val="25"/>
        <w:szCs w:val="25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2025-12-23T15:10:38Z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2025-12-23T15:10:38</vt:filetime>
  </property>
  <property fmtid="{D5CDD505-2E9C-101B-9397-08002B2CF9AE}" pid="4" name="UsrData">
    <vt:lpwstr>694a40680c9584001f3fba70wl</vt:lpwstr>
  </property>
</Properties>
</file>