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010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深财债〔2025〕94号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466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"/>
        </w:rPr>
        <w:t>深圳市财政局关于发行2025年深圳市政府</w:t>
      </w:r>
    </w:p>
    <w:p>
      <w:pPr>
        <w:ind w:left="586"/>
        <w:spacing w:before="39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4"/>
        </w:rPr>
        <w:t>专项债券(五十一至五十六期)、再融资</w:t>
      </w:r>
    </w:p>
    <w:p>
      <w:pPr>
        <w:ind w:left="926"/>
        <w:spacing w:before="2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9"/>
        </w:rPr>
        <w:t>一般债券(四至五期)和再融资专项</w:t>
      </w:r>
    </w:p>
    <w:p>
      <w:pPr>
        <w:ind w:left="2266"/>
        <w:spacing w:before="2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36"/>
        </w:rPr>
        <w:t>债券(五至七期)有关</w:t>
      </w:r>
    </w:p>
    <w:p>
      <w:pPr>
        <w:ind w:left="3386"/>
        <w:spacing w:before="17" w:line="220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8"/>
        </w:rPr>
        <w:t>事宜的通知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right="22"/>
        <w:spacing w:before="101" w:line="33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中央国债登记结算有限责任公司、中国证券登记结算有限责任公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司、上海证券交易所、深圳证券交易所、北京证券交易所，2025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年深圳市政府债券承销团成员：</w:t>
      </w:r>
    </w:p>
    <w:p>
      <w:pPr>
        <w:ind w:firstLine="689"/>
        <w:spacing w:before="5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为支持我市经济和社会发展，根据财政部有关规定，决定发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行2025年深圳市政府专项债券(五十一至五十六期)、再融资一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1"/>
        </w:rPr>
        <w:t>般债券(四至五期)和再融资专项债券(五至七期)。现就本批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债券发行有关事宜通知如下。</w:t>
      </w:r>
    </w:p>
    <w:p>
      <w:pPr>
        <w:spacing w:line="333" w:lineRule="auto"/>
        <w:sectPr>
          <w:footerReference w:type="default" r:id="rId1"/>
          <w:pgSz w:w="11910" w:h="16840"/>
          <w:pgMar w:top="1431" w:right="1245" w:bottom="1616" w:left="1700" w:header="0" w:footer="130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634"/>
        <w:spacing w:before="100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一</w:t>
      </w:r>
      <w:r>
        <w:rPr>
          <w:rFonts w:ascii="SimHei" w:hAnsi="SimHei" w:eastAsia="SimHei" w:cs="SimHei"/>
          <w:sz w:val="31"/>
          <w:szCs w:val="31"/>
          <w:spacing w:val="-8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、发行安排</w:t>
      </w:r>
    </w:p>
    <w:p>
      <w:pPr>
        <w:ind w:right="44" w:firstLine="780"/>
        <w:spacing w:before="161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(</w:t>
      </w:r>
      <w:r>
        <w:rPr>
          <w:rFonts w:ascii="KaiTi" w:hAnsi="KaiTi" w:eastAsia="KaiTi" w:cs="KaiTi"/>
          <w:sz w:val="31"/>
          <w:szCs w:val="31"/>
          <w:spacing w:val="-88"/>
        </w:rPr>
        <w:t xml:space="preserve"> </w:t>
      </w:r>
      <w:r>
        <w:rPr>
          <w:rFonts w:ascii="KaiTi" w:hAnsi="KaiTi" w:eastAsia="KaiTi" w:cs="KaiTi"/>
          <w:sz w:val="31"/>
          <w:szCs w:val="31"/>
          <w:spacing w:val="11"/>
        </w:rPr>
        <w:t>一)发行场所</w:t>
      </w:r>
      <w:r>
        <w:rPr>
          <w:rFonts w:ascii="FangSong" w:hAnsi="FangSong" w:eastAsia="FangSong" w:cs="FangSong"/>
          <w:sz w:val="31"/>
          <w:szCs w:val="31"/>
          <w:spacing w:val="11"/>
        </w:rPr>
        <w:t>。通过全国银行间债券市场、证券</w:t>
      </w:r>
      <w:r>
        <w:rPr>
          <w:rFonts w:ascii="FangSong" w:hAnsi="FangSong" w:eastAsia="FangSong" w:cs="FangSong"/>
          <w:sz w:val="31"/>
          <w:szCs w:val="31"/>
          <w:spacing w:val="10"/>
        </w:rPr>
        <w:t>交易所债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券市场发行。</w:t>
      </w:r>
    </w:p>
    <w:p>
      <w:pPr>
        <w:ind w:right="23" w:firstLine="780"/>
        <w:spacing w:before="159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(二)品种和数量。</w:t>
      </w:r>
      <w:r>
        <w:rPr>
          <w:rFonts w:ascii="KaiTi" w:hAnsi="KaiTi" w:eastAsia="KaiTi" w:cs="KaiTi"/>
          <w:sz w:val="31"/>
          <w:szCs w:val="31"/>
          <w:spacing w:val="-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本批债券共十一期，全部为记账式固定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利率附息债，计划发行面值总额为145.6323亿元。</w:t>
      </w:r>
    </w:p>
    <w:p>
      <w:pPr>
        <w:ind w:left="780"/>
        <w:spacing w:before="19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0"/>
        </w:rPr>
        <w:t>(三)上市安排。</w:t>
      </w:r>
      <w:r>
        <w:rPr>
          <w:rFonts w:ascii="KaiTi" w:hAnsi="KaiTi" w:eastAsia="KaiTi" w:cs="KaiTi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本期债券按照有关规定进行上市交易。</w:t>
      </w:r>
    </w:p>
    <w:p>
      <w:pPr>
        <w:ind w:left="780"/>
        <w:spacing w:before="169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1"/>
        </w:rPr>
        <w:t>(四)其他事项</w:t>
      </w:r>
      <w:r>
        <w:rPr>
          <w:rFonts w:ascii="FangSong" w:hAnsi="FangSong" w:eastAsia="FangSong" w:cs="FangSong"/>
          <w:sz w:val="31"/>
          <w:szCs w:val="31"/>
          <w:spacing w:val="21"/>
        </w:rPr>
        <w:t>。具体发行安排见附件1。</w:t>
      </w:r>
    </w:p>
    <w:p>
      <w:pPr>
        <w:ind w:left="664"/>
        <w:spacing w:before="152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二、竞争性招标</w:t>
      </w:r>
    </w:p>
    <w:p>
      <w:pPr>
        <w:ind w:right="2" w:firstLine="780"/>
        <w:spacing w:before="169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2"/>
        </w:rPr>
        <w:t>(</w:t>
      </w:r>
      <w:r>
        <w:rPr>
          <w:rFonts w:ascii="KaiTi" w:hAnsi="KaiTi" w:eastAsia="KaiTi" w:cs="KaiTi"/>
          <w:sz w:val="31"/>
          <w:szCs w:val="31"/>
          <w:spacing w:val="-76"/>
        </w:rPr>
        <w:t xml:space="preserve"> </w:t>
      </w:r>
      <w:r>
        <w:rPr>
          <w:rFonts w:ascii="KaiTi" w:hAnsi="KaiTi" w:eastAsia="KaiTi" w:cs="KaiTi"/>
          <w:sz w:val="31"/>
          <w:szCs w:val="31"/>
          <w:spacing w:val="12"/>
        </w:rPr>
        <w:t>一)招标方式</w:t>
      </w:r>
      <w:r>
        <w:rPr>
          <w:rFonts w:ascii="FangSong" w:hAnsi="FangSong" w:eastAsia="FangSong" w:cs="FangSong"/>
          <w:sz w:val="31"/>
          <w:szCs w:val="31"/>
          <w:spacing w:val="12"/>
        </w:rPr>
        <w:t>。采用单一价格荷兰式招标方式，标的为利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率，全场最高中标利率为各期债券的票面利率。</w:t>
      </w:r>
    </w:p>
    <w:p>
      <w:pPr>
        <w:ind w:right="15" w:firstLine="780"/>
        <w:spacing w:before="160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(二)时间安排。2025年9月15日10:30—11:10为竞争性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9"/>
        </w:rPr>
        <w:t>招标时间，竞争性招标结束后15分钟内为填制债权托管申请书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时间。本期债券9月16日开始计息，招标结束至缴款日进行分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销。</w:t>
      </w:r>
    </w:p>
    <w:p>
      <w:pPr>
        <w:ind w:right="44" w:firstLine="780"/>
        <w:spacing w:before="215" w:line="2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0"/>
        </w:rPr>
        <w:t>(三)参与机构</w:t>
      </w:r>
      <w:r>
        <w:rPr>
          <w:rFonts w:ascii="FangSong" w:hAnsi="FangSong" w:eastAsia="FangSong" w:cs="FangSong"/>
          <w:sz w:val="31"/>
          <w:szCs w:val="31"/>
          <w:spacing w:val="30"/>
        </w:rPr>
        <w:t>。2025年深圳市政府债券承销团成员(以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下简称承销团成员，名单见附件)有资格参与本次投标。</w:t>
      </w:r>
    </w:p>
    <w:p>
      <w:pPr>
        <w:ind w:firstLine="780"/>
        <w:spacing w:before="153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9"/>
        </w:rPr>
        <w:t>(四)标位限定</w:t>
      </w:r>
      <w:r>
        <w:rPr>
          <w:rFonts w:ascii="FangSong" w:hAnsi="FangSong" w:eastAsia="FangSong" w:cs="FangSong"/>
          <w:sz w:val="31"/>
          <w:szCs w:val="31"/>
          <w:spacing w:val="19"/>
        </w:rPr>
        <w:t>。投标标位变动幅度为0.01%。每一承销团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成员最高、最低标位差为30个标位，无需连续投标。投标标位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6"/>
        </w:rPr>
        <w:t>区间下限为招标日前1至5个工作日(含第1和第5个工作日，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下同)财政部公布的财政部-中国地方政府债券收益率曲线中</w:t>
      </w:r>
      <w:r>
        <w:rPr>
          <w:rFonts w:ascii="FangSong" w:hAnsi="FangSong" w:eastAsia="FangSong" w:cs="FangSong"/>
          <w:sz w:val="31"/>
          <w:szCs w:val="31"/>
          <w:spacing w:val="11"/>
        </w:rPr>
        <w:t>，1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年期地方政府债券收益率算术平均值下浮7%</w:t>
      </w:r>
      <w:r>
        <w:rPr>
          <w:rFonts w:ascii="FangSong" w:hAnsi="FangSong" w:eastAsia="FangSong" w:cs="FangSong"/>
          <w:sz w:val="31"/>
          <w:szCs w:val="31"/>
          <w:spacing w:val="17"/>
        </w:rPr>
        <w:t>,2年期地方政府债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券收益率算术平均值下浮7%,5年期地方政府债券收益率算术平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均值下浮11%,10年期地方政府债券收益率算术平均值下浮9%,</w:t>
      </w:r>
    </w:p>
    <w:p>
      <w:pPr>
        <w:spacing w:line="312" w:lineRule="auto"/>
        <w:sectPr>
          <w:footerReference w:type="default" r:id="rId2"/>
          <w:pgSz w:w="12120" w:h="16980"/>
          <w:pgMar w:top="1443" w:right="1555" w:bottom="1624" w:left="1639" w:header="0" w:footer="129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1" w:lineRule="auto"/>
        <w:rPr/>
      </w:pPr>
      <w:r/>
    </w:p>
    <w:p>
      <w:pPr>
        <w:pStyle w:val="BodyText"/>
        <w:spacing w:line="342" w:lineRule="auto"/>
        <w:rPr/>
      </w:pPr>
      <w:r/>
    </w:p>
    <w:p>
      <w:pPr>
        <w:ind w:right="98"/>
        <w:spacing w:before="101" w:line="32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3"/>
        </w:rPr>
        <w:t>20年期地方政府债券收益率算术平均值下浮8%,30年期地方政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6"/>
        </w:rPr>
        <w:t>府债券收益率算术平均值下浮8%,且不低于招标日前1</w:t>
      </w:r>
      <w:r>
        <w:rPr>
          <w:rFonts w:ascii="FangSong" w:hAnsi="FangSong" w:eastAsia="FangSong" w:cs="FangSong"/>
          <w:sz w:val="31"/>
          <w:szCs w:val="31"/>
          <w:spacing w:val="35"/>
        </w:rPr>
        <w:t>至5个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工作日财政部公布的财政部一中国国债收益率曲</w:t>
      </w:r>
      <w:r>
        <w:rPr>
          <w:rFonts w:ascii="FangSong" w:hAnsi="FangSong" w:eastAsia="FangSong" w:cs="FangSong"/>
          <w:sz w:val="31"/>
          <w:szCs w:val="31"/>
          <w:spacing w:val="7"/>
        </w:rPr>
        <w:t>线中，同年期国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债收益率算术平均值；投标标位区间上限为上述各年期地方政府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债券收益率算术平均值上浮10%。</w:t>
      </w:r>
    </w:p>
    <w:p>
      <w:pPr>
        <w:ind w:right="98" w:firstLine="799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(五)招标系统。</w:t>
      </w:r>
      <w:r>
        <w:rPr>
          <w:rFonts w:ascii="KaiTi" w:hAnsi="KaiTi" w:eastAsia="KaiTi" w:cs="KaiTi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深圳市财政局于招标日通过</w:t>
      </w:r>
      <w:r>
        <w:rPr>
          <w:rFonts w:ascii="FangSong" w:hAnsi="FangSong" w:eastAsia="FangSong" w:cs="FangSong"/>
          <w:sz w:val="31"/>
          <w:szCs w:val="31"/>
          <w:spacing w:val="7"/>
        </w:rPr>
        <w:t>“财政部政府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债券发行系统”组织招投标工作。</w:t>
      </w:r>
    </w:p>
    <w:p>
      <w:pPr>
        <w:ind w:left="67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1"/>
        </w:rPr>
        <w:t>三、发行款缴纳</w:t>
      </w:r>
    </w:p>
    <w:p>
      <w:pPr>
        <w:ind w:right="79" w:firstLine="669"/>
        <w:spacing w:before="216" w:line="32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7"/>
        </w:rPr>
        <w:t>承销团成员于2025年9月16日15:00前，按照承销额度及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缴款通知书上确定金额，将发行款通过大额实时支付系统缴入深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圳市财政局指定账户。缴款日期以深圳市财政局指定账户收到款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项为准。承销团成员未按时缴付发行款的，按规定将违约金通过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大额实时支付系统缴入深圳市财政局指定账户。</w:t>
      </w:r>
    </w:p>
    <w:p>
      <w:pPr>
        <w:ind w:left="669"/>
        <w:spacing w:before="4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深圳市财政局收款账户信息：</w:t>
      </w:r>
    </w:p>
    <w:p>
      <w:pPr>
        <w:ind w:left="669"/>
        <w:spacing w:before="178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户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10"/>
        </w:rPr>
        <w:t>名：深圳市财政库款</w:t>
      </w:r>
    </w:p>
    <w:p>
      <w:pPr>
        <w:ind w:left="669"/>
        <w:spacing w:before="18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账</w:t>
      </w:r>
      <w:r>
        <w:rPr>
          <w:rFonts w:ascii="FangSong" w:hAnsi="FangSong" w:eastAsia="FangSong" w:cs="FangSong"/>
          <w:sz w:val="31"/>
          <w:szCs w:val="31"/>
          <w:spacing w:val="21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5"/>
        </w:rPr>
        <w:t>号：380100000003271001</w:t>
      </w:r>
    </w:p>
    <w:p>
      <w:pPr>
        <w:ind w:left="669"/>
        <w:spacing w:before="17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开户银行：国家金库深圳分库</w:t>
      </w:r>
    </w:p>
    <w:p>
      <w:pPr>
        <w:ind w:left="674"/>
        <w:spacing w:before="164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汇入行行号：011584003008</w:t>
      </w:r>
    </w:p>
    <w:p>
      <w:pPr>
        <w:ind w:firstLine="669"/>
        <w:spacing w:before="166" w:line="32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支付报文中附言为必录项，填写时应当注明缴款级次、收入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科目代码、债券简称及资金用途。本批债券录入：市级、科目代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码(其中：五十一期科目代码均为105040231、再融资一般债四、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5"/>
        </w:rPr>
        <w:t>五期科目代码均为105040101、其他专项债科目代码均为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0"/>
        </w:rPr>
        <w:t>105040298)、25深圳债9月15日发行款。如未及时缴款，请按</w:t>
      </w:r>
    </w:p>
    <w:p>
      <w:pPr>
        <w:spacing w:line="327" w:lineRule="auto"/>
        <w:sectPr>
          <w:footerReference w:type="default" r:id="rId3"/>
          <w:pgSz w:w="11910" w:h="16840"/>
          <w:pgMar w:top="1431" w:right="1175" w:bottom="1794" w:left="1720" w:header="0" w:footer="147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0" w:right="61" w:hanging="10"/>
        <w:spacing w:before="101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照原承销合同要求缴纳违约金，并录入：市级、1039999、25深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圳债**逾期违约金。</w:t>
      </w:r>
    </w:p>
    <w:p>
      <w:pPr>
        <w:ind w:left="644"/>
        <w:spacing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四、其他</w:t>
      </w:r>
    </w:p>
    <w:p>
      <w:pPr>
        <w:ind w:left="10" w:right="20" w:firstLine="770"/>
        <w:spacing w:before="146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7"/>
        </w:rPr>
        <w:t>(一)根据《财政部国家税务总局关于地方政府</w:t>
      </w:r>
      <w:r>
        <w:rPr>
          <w:rFonts w:ascii="FangSong" w:hAnsi="FangSong" w:eastAsia="FangSong" w:cs="FangSong"/>
          <w:sz w:val="31"/>
          <w:szCs w:val="31"/>
          <w:spacing w:val="26"/>
        </w:rPr>
        <w:t>债券利息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免征所得税问题的通知》(财税〔2013〕5号)的</w:t>
      </w:r>
      <w:r>
        <w:rPr>
          <w:rFonts w:ascii="FangSong" w:hAnsi="FangSong" w:eastAsia="FangSong" w:cs="FangSong"/>
          <w:sz w:val="31"/>
          <w:szCs w:val="31"/>
          <w:spacing w:val="21"/>
        </w:rPr>
        <w:t>规定，对企业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和个人取得的深圳市政府债券利息所得，免征企业所得税和个人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所得税。</w:t>
      </w:r>
    </w:p>
    <w:p>
      <w:pPr>
        <w:ind w:left="10" w:firstLine="799"/>
        <w:spacing w:before="153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(二)除上述规定外，发行工作其他事宜按《深圳市财政局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关于印发〈深圳市政府债券招标发行和兑付办法〉的通知》(深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财库〔2023〕77号)规定执行。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659" w:right="564" w:hanging="939"/>
        <w:spacing w:before="101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附件：1.2025年9月15日深圳市政府债券发行情况表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2.2025年深圳市政府债券承销团成员</w:t>
      </w:r>
      <w:r>
        <w:rPr>
          <w:rFonts w:ascii="FangSong" w:hAnsi="FangSong" w:eastAsia="FangSong" w:cs="FangSong"/>
          <w:sz w:val="31"/>
          <w:szCs w:val="31"/>
          <w:spacing w:val="1"/>
        </w:rPr>
        <w:t>名单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5470"/>
        <w:spacing w:before="91" w:line="221" w:lineRule="auto"/>
        <w:rPr>
          <w:rFonts w:ascii="FangSong" w:hAnsi="FangSong" w:eastAsia="FangSong" w:cs="FangSong"/>
          <w:sz w:val="28"/>
          <w:szCs w:val="2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3340132</wp:posOffset>
            </wp:positionH>
            <wp:positionV relativeFrom="paragraph">
              <wp:posOffset>-581611</wp:posOffset>
            </wp:positionV>
            <wp:extent cx="1530342" cy="151129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2" cy="1511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8"/>
          <w:szCs w:val="28"/>
          <w:spacing w:val="44"/>
        </w:rPr>
        <w:t>深圳市财政局</w:t>
      </w:r>
    </w:p>
    <w:p>
      <w:pPr>
        <w:ind w:left="5390"/>
        <w:spacing w:before="278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6"/>
        </w:rPr>
        <w:t>2</w:t>
      </w:r>
      <w:r>
        <w:rPr>
          <w:rFonts w:ascii="FangSong" w:hAnsi="FangSong" w:eastAsia="FangSong" w:cs="FangSong"/>
          <w:sz w:val="28"/>
          <w:szCs w:val="28"/>
          <w:spacing w:val="-4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0</w:t>
      </w:r>
      <w:r>
        <w:rPr>
          <w:rFonts w:ascii="FangSong" w:hAnsi="FangSong" w:eastAsia="FangSong" w:cs="FangSong"/>
          <w:sz w:val="28"/>
          <w:szCs w:val="28"/>
          <w:spacing w:val="-4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2</w:t>
      </w:r>
      <w:r>
        <w:rPr>
          <w:rFonts w:ascii="FangSong" w:hAnsi="FangSong" w:eastAsia="FangSong" w:cs="FangSong"/>
          <w:sz w:val="28"/>
          <w:szCs w:val="28"/>
          <w:spacing w:val="-4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5</w:t>
      </w:r>
      <w:r>
        <w:rPr>
          <w:rFonts w:ascii="FangSong" w:hAnsi="FangSong" w:eastAsia="FangSong" w:cs="FangSong"/>
          <w:sz w:val="28"/>
          <w:szCs w:val="28"/>
          <w:spacing w:val="-3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年</w:t>
      </w:r>
      <w:r>
        <w:rPr>
          <w:rFonts w:ascii="FangSong" w:hAnsi="FangSong" w:eastAsia="FangSong" w:cs="FangSong"/>
          <w:sz w:val="28"/>
          <w:szCs w:val="28"/>
          <w:spacing w:val="-4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9</w:t>
      </w:r>
      <w:r>
        <w:rPr>
          <w:rFonts w:ascii="FangSong" w:hAnsi="FangSong" w:eastAsia="FangSong" w:cs="FangSong"/>
          <w:sz w:val="28"/>
          <w:szCs w:val="28"/>
          <w:spacing w:val="-2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月</w:t>
      </w:r>
      <w:r>
        <w:rPr>
          <w:rFonts w:ascii="FangSong" w:hAnsi="FangSong" w:eastAsia="FangSong" w:cs="FangSong"/>
          <w:sz w:val="28"/>
          <w:szCs w:val="28"/>
          <w:spacing w:val="-4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7</w:t>
      </w:r>
      <w:r>
        <w:rPr>
          <w:rFonts w:ascii="FangSong" w:hAnsi="FangSong" w:eastAsia="FangSong" w:cs="FangSong"/>
          <w:sz w:val="28"/>
          <w:szCs w:val="28"/>
          <w:spacing w:val="1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6"/>
        </w:rPr>
        <w:t>日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78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(联系人：林靖，联系电话：83938727)</w:t>
      </w:r>
    </w:p>
    <w:p>
      <w:pPr>
        <w:spacing w:line="222" w:lineRule="auto"/>
        <w:sectPr>
          <w:footerReference w:type="default" r:id="rId4"/>
          <w:pgSz w:w="11910" w:h="16840"/>
          <w:pgMar w:top="1431" w:right="1469" w:bottom="1740" w:left="1499" w:header="0" w:footer="137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9"/>
        </w:rPr>
        <w:t>附件1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642"/>
        <w:spacing w:before="153" w:line="194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5"/>
        </w:rPr>
        <w:t>2025年9月15日深圳市政府债券发行情况表</w:t>
      </w:r>
    </w:p>
    <w:tbl>
      <w:tblPr>
        <w:tblStyle w:val="TableNormal"/>
        <w:tblW w:w="13049" w:type="dxa"/>
        <w:tblInd w:w="50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55"/>
        <w:gridCol w:w="1559"/>
        <w:gridCol w:w="699"/>
        <w:gridCol w:w="869"/>
        <w:gridCol w:w="1279"/>
        <w:gridCol w:w="609"/>
        <w:gridCol w:w="1938"/>
        <w:gridCol w:w="2009"/>
        <w:gridCol w:w="1149"/>
        <w:gridCol w:w="1099"/>
        <w:gridCol w:w="1184"/>
      </w:tblGrid>
      <w:tr>
        <w:trPr>
          <w:trHeight w:val="1083" w:hRule="atLeast"/>
        </w:trPr>
        <w:tc>
          <w:tcPr>
            <w:tcW w:w="655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2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155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2" w:line="219" w:lineRule="auto"/>
              <w:rPr/>
            </w:pPr>
            <w:r>
              <w:rPr>
                <w:spacing w:val="-2"/>
              </w:rPr>
              <w:t>债券名称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51"/>
              <w:spacing w:before="243" w:line="220" w:lineRule="auto"/>
              <w:rPr/>
            </w:pPr>
            <w:r>
              <w:rPr>
                <w:spacing w:val="5"/>
              </w:rPr>
              <w:t>期限</w:t>
            </w:r>
          </w:p>
          <w:p>
            <w:pPr>
              <w:pStyle w:val="TableText"/>
              <w:ind w:left="151"/>
              <w:spacing w:before="143" w:line="219" w:lineRule="auto"/>
              <w:rPr/>
            </w:pPr>
            <w:r>
              <w:rPr>
                <w:spacing w:val="13"/>
              </w:rPr>
              <w:t>(年)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41" w:right="105"/>
              <w:spacing w:before="72" w:line="324" w:lineRule="auto"/>
              <w:jc w:val="both"/>
              <w:rPr/>
            </w:pPr>
            <w:r>
              <w:rPr>
                <w:spacing w:val="-3"/>
              </w:rPr>
              <w:t>计划发</w:t>
            </w:r>
            <w:r>
              <w:rPr/>
              <w:t xml:space="preserve"> </w:t>
            </w:r>
            <w:r>
              <w:rPr>
                <w:spacing w:val="-4"/>
              </w:rPr>
              <w:t>行面值</w:t>
            </w:r>
            <w:r>
              <w:rPr/>
              <w:t xml:space="preserve"> </w:t>
            </w:r>
            <w:r>
              <w:rPr>
                <w:spacing w:val="10"/>
              </w:rPr>
              <w:t>(亿元)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42" w:right="175" w:hanging="289"/>
              <w:spacing w:before="262" w:line="365" w:lineRule="auto"/>
              <w:rPr/>
            </w:pPr>
            <w:r>
              <w:rPr>
                <w:spacing w:val="-2"/>
              </w:rPr>
              <w:t>竞争性招标</w:t>
            </w:r>
            <w:r>
              <w:rPr/>
              <w:t xml:space="preserve"> </w:t>
            </w:r>
            <w:r>
              <w:rPr>
                <w:spacing w:val="9"/>
              </w:rPr>
              <w:t>时间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04" w:right="100"/>
              <w:spacing w:before="251" w:line="362" w:lineRule="auto"/>
              <w:rPr/>
            </w:pPr>
            <w:r>
              <w:rPr>
                <w:spacing w:val="6"/>
              </w:rPr>
              <w:t>付息</w:t>
            </w:r>
            <w:r>
              <w:rPr/>
              <w:t xml:space="preserve"> </w:t>
            </w:r>
            <w:r>
              <w:rPr>
                <w:spacing w:val="-3"/>
              </w:rPr>
              <w:t>频率</w:t>
            </w:r>
          </w:p>
        </w:tc>
        <w:tc>
          <w:tcPr>
            <w:tcW w:w="193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5"/>
              <w:spacing w:before="62" w:line="219" w:lineRule="auto"/>
              <w:rPr/>
            </w:pPr>
            <w:r>
              <w:rPr>
                <w:spacing w:val="11"/>
              </w:rPr>
              <w:t>付息日</w:t>
            </w:r>
          </w:p>
        </w:tc>
        <w:tc>
          <w:tcPr>
            <w:tcW w:w="200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7"/>
              <w:spacing w:before="62" w:line="219" w:lineRule="auto"/>
              <w:rPr/>
            </w:pPr>
            <w:r>
              <w:rPr>
                <w:spacing w:val="-2"/>
              </w:rPr>
              <w:t>还本安排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77" w:right="79" w:hanging="379"/>
              <w:spacing w:before="274" w:line="341" w:lineRule="auto"/>
              <w:rPr/>
            </w:pPr>
            <w:r>
              <w:rPr>
                <w:spacing w:val="2"/>
              </w:rPr>
              <w:t>发行手续费</w:t>
            </w:r>
            <w:r>
              <w:rPr/>
              <w:t xml:space="preserve"> </w:t>
            </w:r>
            <w:r>
              <w:rPr/>
              <w:t>率</w:t>
            </w:r>
          </w:p>
        </w:tc>
        <w:tc>
          <w:tcPr>
            <w:tcW w:w="1099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2" w:line="220" w:lineRule="auto"/>
              <w:rPr/>
            </w:pPr>
            <w:r>
              <w:rPr>
                <w:spacing w:val="4"/>
              </w:rPr>
              <w:t>发行地点</w:t>
            </w:r>
          </w:p>
        </w:tc>
        <w:tc>
          <w:tcPr>
            <w:tcW w:w="1184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2" w:line="220" w:lineRule="auto"/>
              <w:rPr/>
            </w:pPr>
            <w:r>
              <w:rPr>
                <w:spacing w:val="-2"/>
              </w:rPr>
              <w:t>招标系统</w:t>
            </w:r>
          </w:p>
        </w:tc>
      </w:tr>
      <w:tr>
        <w:trPr>
          <w:trHeight w:val="2316" w:hRule="atLeast"/>
        </w:trPr>
        <w:tc>
          <w:tcPr>
            <w:tcW w:w="65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2" w:line="241" w:lineRule="auto"/>
              <w:rPr/>
            </w:pPr>
            <w:r>
              <w:rPr/>
              <w:t>1</w:t>
            </w:r>
          </w:p>
        </w:tc>
        <w:tc>
          <w:tcPr>
            <w:tcW w:w="155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62" w:line="219" w:lineRule="auto"/>
              <w:rPr/>
            </w:pPr>
            <w:r>
              <w:rPr>
                <w:spacing w:val="-1"/>
              </w:rPr>
              <w:t>2025年深圳市政</w:t>
            </w:r>
          </w:p>
          <w:p>
            <w:pPr>
              <w:pStyle w:val="TableText"/>
              <w:ind w:left="430" w:right="170" w:hanging="280"/>
              <w:spacing w:before="113" w:line="344" w:lineRule="auto"/>
              <w:rPr/>
            </w:pPr>
            <w:r>
              <w:rPr>
                <w:spacing w:val="-1"/>
              </w:rPr>
              <w:t>府专项债券(五</w:t>
            </w:r>
            <w:r>
              <w:rPr/>
              <w:t xml:space="preserve"> </w:t>
            </w:r>
            <w:r>
              <w:rPr>
                <w:spacing w:val="11"/>
              </w:rPr>
              <w:t>十一期)</w:t>
            </w:r>
          </w:p>
        </w:tc>
        <w:tc>
          <w:tcPr>
            <w:tcW w:w="69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2" w:line="241" w:lineRule="auto"/>
              <w:rPr/>
            </w:pPr>
            <w:r>
              <w:rPr/>
              <w:t>2</w:t>
            </w:r>
          </w:p>
        </w:tc>
        <w:tc>
          <w:tcPr>
            <w:tcW w:w="86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2" w:line="239" w:lineRule="auto"/>
              <w:rPr/>
            </w:pPr>
            <w:r>
              <w:rPr>
                <w:spacing w:val="-2"/>
              </w:rPr>
              <w:t>43.4</w:t>
            </w:r>
          </w:p>
        </w:tc>
        <w:tc>
          <w:tcPr>
            <w:tcW w:w="127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62" w:line="239" w:lineRule="auto"/>
              <w:rPr/>
            </w:pPr>
            <w:r>
              <w:rPr>
                <w:spacing w:val="-2"/>
              </w:rPr>
              <w:t>10:30-11:10</w:t>
            </w:r>
          </w:p>
        </w:tc>
        <w:tc>
          <w:tcPr>
            <w:tcW w:w="60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00"/>
              <w:spacing w:before="62" w:line="337" w:lineRule="auto"/>
              <w:jc w:val="both"/>
              <w:rPr/>
            </w:pPr>
            <w:r>
              <w:rPr>
                <w:spacing w:val="-4"/>
              </w:rPr>
              <w:t>每年</w:t>
            </w:r>
            <w:r>
              <w:rPr/>
              <w:t xml:space="preserve"> </w:t>
            </w:r>
            <w:r>
              <w:rPr>
                <w:spacing w:val="6"/>
              </w:rPr>
              <w:t>付息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9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1" w:line="219" w:lineRule="auto"/>
              <w:rPr/>
            </w:pPr>
            <w:r>
              <w:rPr>
                <w:spacing w:val="-1"/>
              </w:rPr>
              <w:t>存续期内9月16日(节</w:t>
            </w:r>
          </w:p>
          <w:p>
            <w:pPr>
              <w:pStyle w:val="TableText"/>
              <w:ind w:left="535"/>
              <w:spacing w:before="123" w:line="219" w:lineRule="auto"/>
              <w:rPr/>
            </w:pPr>
            <w:r>
              <w:rPr>
                <w:spacing w:val="7"/>
              </w:rPr>
              <w:t>假日顺延)</w:t>
            </w:r>
          </w:p>
        </w:tc>
        <w:tc>
          <w:tcPr>
            <w:tcW w:w="20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114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2" w:line="219" w:lineRule="auto"/>
              <w:rPr/>
            </w:pPr>
            <w:r>
              <w:rPr>
                <w:spacing w:val="7"/>
              </w:rPr>
              <w:t>5年期(含)</w:t>
            </w:r>
          </w:p>
          <w:p>
            <w:pPr>
              <w:pStyle w:val="TableText"/>
              <w:ind w:left="288"/>
              <w:spacing w:before="135" w:line="221" w:lineRule="auto"/>
              <w:rPr/>
            </w:pPr>
            <w:r>
              <w:rPr>
                <w:spacing w:val="3"/>
              </w:rPr>
              <w:t>以上为</w:t>
            </w:r>
          </w:p>
          <w:p>
            <w:pPr>
              <w:pStyle w:val="TableText"/>
              <w:ind w:left="137"/>
              <w:spacing w:before="148" w:line="216" w:lineRule="auto"/>
              <w:rPr/>
            </w:pPr>
            <w:r>
              <w:rPr>
                <w:spacing w:val="1"/>
              </w:rPr>
              <w:t>0.6‰,5年</w:t>
            </w:r>
          </w:p>
          <w:p>
            <w:pPr>
              <w:pStyle w:val="TableText"/>
              <w:ind w:left="288"/>
              <w:spacing w:before="131" w:line="221" w:lineRule="auto"/>
              <w:rPr/>
            </w:pPr>
            <w:r>
              <w:rPr>
                <w:spacing w:val="3"/>
              </w:rPr>
              <w:t>以下为</w:t>
            </w:r>
          </w:p>
          <w:p>
            <w:pPr>
              <w:pStyle w:val="TableText"/>
              <w:ind w:left="288"/>
              <w:spacing w:before="156" w:line="234" w:lineRule="auto"/>
              <w:rPr/>
            </w:pPr>
            <w:r>
              <w:rPr>
                <w:spacing w:val="-5"/>
              </w:rPr>
              <w:t>0.3‰。</w:t>
            </w:r>
          </w:p>
        </w:tc>
        <w:tc>
          <w:tcPr>
            <w:tcW w:w="109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2" w:line="219" w:lineRule="auto"/>
              <w:rPr/>
            </w:pPr>
            <w:r>
              <w:rPr>
                <w:spacing w:val="2"/>
              </w:rPr>
              <w:t>中央国债</w:t>
            </w:r>
          </w:p>
          <w:p>
            <w:pPr>
              <w:pStyle w:val="TableText"/>
              <w:ind w:left="168" w:right="146"/>
              <w:spacing w:before="142" w:line="342" w:lineRule="auto"/>
              <w:jc w:val="both"/>
              <w:rPr/>
            </w:pPr>
            <w:r>
              <w:rPr>
                <w:spacing w:val="2"/>
              </w:rPr>
              <w:t>登记结算</w:t>
            </w:r>
            <w:r>
              <w:rPr/>
              <w:t xml:space="preserve"> </w:t>
            </w:r>
            <w:r>
              <w:rPr>
                <w:spacing w:val="-3"/>
              </w:rPr>
              <w:t>有限责任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公司深圳</w:t>
            </w:r>
            <w:r>
              <w:rPr/>
              <w:t xml:space="preserve"> </w:t>
            </w:r>
            <w:r>
              <w:rPr>
                <w:spacing w:val="38"/>
              </w:rPr>
              <w:t>分公司</w:t>
            </w:r>
          </w:p>
        </w:tc>
        <w:tc>
          <w:tcPr>
            <w:tcW w:w="118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2" w:line="219" w:lineRule="auto"/>
              <w:rPr/>
            </w:pPr>
            <w:r>
              <w:rPr>
                <w:spacing w:val="-2"/>
              </w:rPr>
              <w:t>财政部政府</w:t>
            </w:r>
          </w:p>
          <w:p>
            <w:pPr>
              <w:pStyle w:val="TableText"/>
              <w:ind w:left="109"/>
              <w:spacing w:before="125" w:line="219" w:lineRule="auto"/>
              <w:rPr/>
            </w:pPr>
            <w:r>
              <w:rPr>
                <w:spacing w:val="3"/>
              </w:rPr>
              <w:t>债券发行系</w:t>
            </w:r>
          </w:p>
          <w:p>
            <w:pPr>
              <w:pStyle w:val="TableText"/>
              <w:ind w:left="490"/>
              <w:spacing w:before="115" w:line="221" w:lineRule="auto"/>
              <w:rPr/>
            </w:pPr>
            <w:r>
              <w:rPr/>
              <w:t>统</w:t>
            </w:r>
          </w:p>
        </w:tc>
      </w:tr>
      <w:tr>
        <w:trPr>
          <w:trHeight w:val="1458" w:hRule="atLeast"/>
        </w:trPr>
        <w:tc>
          <w:tcPr>
            <w:tcW w:w="65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2" w:line="241" w:lineRule="auto"/>
              <w:rPr/>
            </w:pPr>
            <w:r>
              <w:rPr/>
              <w:t>2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99"/>
              <w:spacing w:before="283" w:line="219" w:lineRule="auto"/>
              <w:rPr/>
            </w:pPr>
            <w:r>
              <w:rPr>
                <w:spacing w:val="-1"/>
              </w:rPr>
              <w:t>2025年深圳市政</w:t>
            </w:r>
          </w:p>
          <w:p>
            <w:pPr>
              <w:pStyle w:val="TableText"/>
              <w:ind w:left="430" w:right="170" w:hanging="280"/>
              <w:spacing w:before="123" w:line="373" w:lineRule="auto"/>
              <w:rPr/>
            </w:pPr>
            <w:r>
              <w:rPr>
                <w:spacing w:val="-1"/>
              </w:rPr>
              <w:t>府专项债券(五</w:t>
            </w:r>
            <w:r>
              <w:rPr/>
              <w:t xml:space="preserve"> </w:t>
            </w:r>
            <w:r>
              <w:rPr>
                <w:spacing w:val="11"/>
              </w:rPr>
              <w:t>十二期)</w:t>
            </w:r>
          </w:p>
        </w:tc>
        <w:tc>
          <w:tcPr>
            <w:tcW w:w="69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6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1" w:line="239" w:lineRule="auto"/>
              <w:rPr/>
            </w:pPr>
            <w:r>
              <w:rPr>
                <w:spacing w:val="-2"/>
              </w:rPr>
              <w:t>3.639</w:t>
            </w:r>
          </w:p>
        </w:tc>
        <w:tc>
          <w:tcPr>
            <w:tcW w:w="127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61" w:line="239" w:lineRule="auto"/>
              <w:rPr/>
            </w:pPr>
            <w:r>
              <w:rPr>
                <w:spacing w:val="-2"/>
              </w:rPr>
              <w:t>10:30-11:10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04"/>
              <w:spacing w:before="94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104"/>
              <w:spacing w:before="11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204" w:right="104" w:hanging="100"/>
              <w:spacing w:before="152" w:line="309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155"/>
              <w:spacing w:before="263" w:line="219" w:lineRule="auto"/>
              <w:rPr/>
            </w:pPr>
            <w:r>
              <w:rPr>
                <w:spacing w:val="-1"/>
              </w:rPr>
              <w:t>存续期内9月16日和</w:t>
            </w:r>
          </w:p>
          <w:p>
            <w:pPr>
              <w:pStyle w:val="TableText"/>
              <w:ind w:left="814" w:right="214" w:hanging="609"/>
              <w:spacing w:before="154" w:line="366" w:lineRule="auto"/>
              <w:rPr/>
            </w:pPr>
            <w:r>
              <w:rPr>
                <w:spacing w:val="-2"/>
              </w:rPr>
              <w:t>3月16日(节假日顺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延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2009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62" w:line="219" w:lineRule="auto"/>
              <w:rPr/>
            </w:pPr>
            <w:r>
              <w:rPr>
                <w:spacing w:val="-1"/>
              </w:rPr>
              <w:t>2031-2035年每年偿还</w:t>
            </w:r>
          </w:p>
          <w:p>
            <w:pPr>
              <w:pStyle w:val="TableText"/>
              <w:ind w:left="526"/>
              <w:spacing w:before="123" w:line="219" w:lineRule="auto"/>
              <w:rPr/>
            </w:pPr>
            <w:r>
              <w:rPr/>
              <w:t>本金的20%。</w:t>
            </w:r>
          </w:p>
        </w:tc>
        <w:tc>
          <w:tcPr>
            <w:tcW w:w="114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8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423" w:hRule="atLeast"/>
        </w:trPr>
        <w:tc>
          <w:tcPr>
            <w:tcW w:w="65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4"/>
              <w:spacing w:before="62"/>
              <w:rPr/>
            </w:pPr>
            <w:r>
              <w:rPr/>
              <w:t>3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left="99"/>
              <w:spacing w:before="256" w:line="219" w:lineRule="auto"/>
              <w:rPr/>
            </w:pPr>
            <w:r>
              <w:rPr>
                <w:spacing w:val="-1"/>
              </w:rPr>
              <w:t>2025年深圳市政</w:t>
            </w:r>
          </w:p>
          <w:p>
            <w:pPr>
              <w:pStyle w:val="TableText"/>
              <w:ind w:left="430" w:right="170" w:hanging="280"/>
              <w:spacing w:before="143" w:line="344" w:lineRule="auto"/>
              <w:rPr/>
            </w:pPr>
            <w:r>
              <w:rPr>
                <w:spacing w:val="-1"/>
              </w:rPr>
              <w:t>府专项债券(五</w:t>
            </w:r>
            <w:r>
              <w:rPr/>
              <w:t xml:space="preserve"> </w:t>
            </w:r>
            <w:r>
              <w:rPr>
                <w:spacing w:val="11"/>
              </w:rPr>
              <w:t>十三期)</w:t>
            </w:r>
          </w:p>
        </w:tc>
        <w:tc>
          <w:tcPr>
            <w:tcW w:w="69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0"/>
              <w:spacing w:before="62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86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2" w:line="239" w:lineRule="auto"/>
              <w:rPr/>
            </w:pPr>
            <w:r>
              <w:rPr>
                <w:spacing w:val="-2"/>
              </w:rPr>
              <w:t>41.67</w:t>
            </w:r>
          </w:p>
        </w:tc>
        <w:tc>
          <w:tcPr>
            <w:tcW w:w="12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62" w:line="239" w:lineRule="auto"/>
              <w:rPr/>
            </w:pPr>
            <w:r>
              <w:rPr>
                <w:spacing w:val="-2"/>
              </w:rPr>
              <w:t>10:30-11:10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104"/>
              <w:spacing w:before="75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104"/>
              <w:spacing w:before="12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204" w:right="104" w:hanging="100"/>
              <w:spacing w:before="142" w:line="301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155"/>
              <w:spacing w:before="266" w:line="219" w:lineRule="auto"/>
              <w:rPr/>
            </w:pPr>
            <w:r>
              <w:rPr>
                <w:spacing w:val="-1"/>
              </w:rPr>
              <w:t>存续期内9月16日和</w:t>
            </w:r>
          </w:p>
          <w:p>
            <w:pPr>
              <w:pStyle w:val="TableText"/>
              <w:ind w:left="814" w:right="214" w:hanging="609"/>
              <w:spacing w:before="132" w:line="367" w:lineRule="auto"/>
              <w:rPr/>
            </w:pPr>
            <w:r>
              <w:rPr>
                <w:spacing w:val="-2"/>
              </w:rPr>
              <w:t>3月16日(节假日顺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延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200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114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8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6840" w:h="11910"/>
          <w:pgMar w:top="1012" w:right="1279" w:bottom="916" w:left="1484" w:header="0" w:footer="591" w:gutter="0"/>
        </w:sectPr>
        <w:rPr/>
      </w:pPr>
    </w:p>
    <w:p>
      <w:pPr>
        <w:spacing w:before="95"/>
        <w:rPr/>
      </w:pPr>
      <w:r/>
    </w:p>
    <w:p>
      <w:pPr>
        <w:spacing w:before="94"/>
        <w:rPr/>
      </w:pPr>
      <w:r/>
    </w:p>
    <w:tbl>
      <w:tblPr>
        <w:tblStyle w:val="TableNormal"/>
        <w:tblW w:w="12940" w:type="dxa"/>
        <w:tblInd w:w="44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64"/>
        <w:gridCol w:w="1529"/>
        <w:gridCol w:w="689"/>
        <w:gridCol w:w="879"/>
        <w:gridCol w:w="1259"/>
        <w:gridCol w:w="610"/>
        <w:gridCol w:w="1939"/>
        <w:gridCol w:w="1979"/>
        <w:gridCol w:w="1129"/>
        <w:gridCol w:w="1089"/>
        <w:gridCol w:w="1174"/>
      </w:tblGrid>
      <w:tr>
        <w:trPr>
          <w:trHeight w:val="1443" w:hRule="atLeast"/>
        </w:trPr>
        <w:tc>
          <w:tcPr>
            <w:tcW w:w="66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65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50"/>
              <w:spacing w:before="25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2025年深圳市政</w:t>
            </w:r>
          </w:p>
          <w:p>
            <w:pPr>
              <w:pStyle w:val="TableText"/>
              <w:ind w:left="400" w:right="125" w:hanging="300"/>
              <w:spacing w:before="111" w:line="33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府专项债券(五</w:t>
            </w:r>
            <w:r>
              <w:rPr>
                <w:sz w:val="20"/>
                <w:szCs w:val="20"/>
                <w:spacing w:val="5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十四期)</w:t>
            </w:r>
          </w:p>
        </w:tc>
        <w:tc>
          <w:tcPr>
            <w:tcW w:w="6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20</w:t>
            </w:r>
          </w:p>
        </w:tc>
        <w:tc>
          <w:tcPr>
            <w:tcW w:w="87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3.674</w:t>
            </w:r>
          </w:p>
        </w:tc>
        <w:tc>
          <w:tcPr>
            <w:tcW w:w="125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10:30-11:10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95"/>
              <w:spacing w:before="6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95"/>
              <w:spacing w:before="13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194" w:right="94" w:hanging="99"/>
              <w:spacing w:before="140" w:line="28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939" w:type="dxa"/>
            <w:vAlign w:val="top"/>
          </w:tcPr>
          <w:p>
            <w:pPr>
              <w:pStyle w:val="TableText"/>
              <w:ind w:left="115"/>
              <w:spacing w:before="24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存续期内9月16日和</w:t>
            </w:r>
          </w:p>
          <w:p>
            <w:pPr>
              <w:pStyle w:val="TableText"/>
              <w:ind w:left="814" w:right="155" w:hanging="649"/>
              <w:spacing w:before="121" w:line="3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3月16日(节假日顺</w:t>
            </w:r>
            <w:r>
              <w:rPr>
                <w:sz w:val="20"/>
                <w:szCs w:val="20"/>
                <w:spacing w:val="7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延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)</w:t>
            </w:r>
          </w:p>
        </w:tc>
        <w:tc>
          <w:tcPr>
            <w:tcW w:w="197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2036-2045年每年偿还</w:t>
            </w:r>
          </w:p>
          <w:p>
            <w:pPr>
              <w:pStyle w:val="TableText"/>
              <w:ind w:left="485"/>
              <w:spacing w:before="13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本金的10%。</w:t>
            </w:r>
          </w:p>
        </w:tc>
        <w:tc>
          <w:tcPr>
            <w:tcW w:w="112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108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117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1438" w:hRule="atLeast"/>
        </w:trPr>
        <w:tc>
          <w:tcPr>
            <w:tcW w:w="66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50"/>
              <w:spacing w:before="26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2025年深圳市政</w:t>
            </w:r>
          </w:p>
          <w:p>
            <w:pPr>
              <w:pStyle w:val="TableText"/>
              <w:ind w:left="400" w:right="125" w:hanging="300"/>
              <w:spacing w:before="121" w:line="3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府专项债券(五</w:t>
            </w:r>
            <w:r>
              <w:rPr>
                <w:sz w:val="20"/>
                <w:szCs w:val="20"/>
                <w:spacing w:val="5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十五期)</w:t>
            </w:r>
          </w:p>
        </w:tc>
        <w:tc>
          <w:tcPr>
            <w:tcW w:w="68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87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6.5</w:t>
            </w:r>
          </w:p>
        </w:tc>
        <w:tc>
          <w:tcPr>
            <w:tcW w:w="125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10:30-11:10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95"/>
              <w:spacing w:before="7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95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194" w:right="94" w:hanging="99"/>
              <w:spacing w:before="132" w:line="29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939" w:type="dxa"/>
            <w:vAlign w:val="top"/>
          </w:tcPr>
          <w:p>
            <w:pPr>
              <w:pStyle w:val="TableText"/>
              <w:ind w:left="115"/>
              <w:spacing w:before="26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存续期内9月16日和</w:t>
            </w:r>
          </w:p>
          <w:p>
            <w:pPr>
              <w:pStyle w:val="TableText"/>
              <w:ind w:left="814" w:right="155" w:hanging="649"/>
              <w:spacing w:before="112" w:line="3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3月16日(节假日顺</w:t>
            </w:r>
            <w:r>
              <w:rPr>
                <w:sz w:val="20"/>
                <w:szCs w:val="20"/>
                <w:spacing w:val="7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延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)</w:t>
            </w:r>
          </w:p>
        </w:tc>
        <w:tc>
          <w:tcPr>
            <w:tcW w:w="197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到期一次性偿还本金</w:t>
            </w:r>
          </w:p>
        </w:tc>
        <w:tc>
          <w:tcPr>
            <w:tcW w:w="112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108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117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1448" w:hRule="atLeast"/>
        </w:trPr>
        <w:tc>
          <w:tcPr>
            <w:tcW w:w="66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50"/>
              <w:spacing w:before="27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2025年深圳市政</w:t>
            </w:r>
          </w:p>
          <w:p>
            <w:pPr>
              <w:pStyle w:val="TableText"/>
              <w:ind w:left="400" w:right="125" w:hanging="300"/>
              <w:spacing w:before="132" w:line="3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府专项债券(五</w:t>
            </w:r>
            <w:r>
              <w:rPr>
                <w:sz w:val="20"/>
                <w:szCs w:val="20"/>
                <w:spacing w:val="5"/>
              </w:rPr>
              <w:t xml:space="preserve"> </w:t>
            </w:r>
            <w:r>
              <w:rPr>
                <w:sz w:val="20"/>
                <w:szCs w:val="20"/>
                <w:spacing w:val="10"/>
              </w:rPr>
              <w:t>十六期)</w:t>
            </w:r>
          </w:p>
        </w:tc>
        <w:tc>
          <w:tcPr>
            <w:tcW w:w="68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8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2.38</w:t>
            </w:r>
          </w:p>
        </w:tc>
        <w:tc>
          <w:tcPr>
            <w:tcW w:w="125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10:30-11:10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95"/>
              <w:spacing w:before="7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95"/>
              <w:spacing w:before="12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194" w:right="94" w:hanging="99"/>
              <w:spacing w:before="131" w:line="29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939" w:type="dxa"/>
            <w:vAlign w:val="top"/>
          </w:tcPr>
          <w:p>
            <w:pPr>
              <w:pStyle w:val="TableText"/>
              <w:ind w:left="115"/>
              <w:spacing w:before="25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存续期内9月16日和</w:t>
            </w:r>
          </w:p>
          <w:p>
            <w:pPr>
              <w:pStyle w:val="TableText"/>
              <w:ind w:left="814" w:right="155" w:hanging="649"/>
              <w:spacing w:before="141" w:line="3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3月16日(节假日顺</w:t>
            </w:r>
            <w:r>
              <w:rPr>
                <w:sz w:val="20"/>
                <w:szCs w:val="20"/>
                <w:spacing w:val="7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延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)</w:t>
            </w:r>
          </w:p>
        </w:tc>
        <w:tc>
          <w:tcPr>
            <w:tcW w:w="197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2046-2055年每年偿还</w:t>
            </w:r>
          </w:p>
          <w:p>
            <w:pPr>
              <w:pStyle w:val="TableText"/>
              <w:ind w:left="485"/>
              <w:spacing w:before="13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本金的10%。</w:t>
            </w:r>
          </w:p>
        </w:tc>
        <w:tc>
          <w:tcPr>
            <w:tcW w:w="112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108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117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1079" w:hRule="atLeast"/>
        </w:trPr>
        <w:tc>
          <w:tcPr>
            <w:tcW w:w="664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50"/>
              <w:spacing w:before="9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2025年深圳市政</w:t>
            </w:r>
          </w:p>
          <w:p>
            <w:pPr>
              <w:pStyle w:val="TableText"/>
              <w:ind w:left="350" w:right="75" w:hanging="300"/>
              <w:spacing w:before="122" w:line="2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府再融资一般债</w:t>
            </w:r>
            <w:r>
              <w:rPr>
                <w:sz w:val="20"/>
                <w:szCs w:val="20"/>
                <w:spacing w:val="5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券(四期)</w:t>
            </w:r>
          </w:p>
        </w:tc>
        <w:tc>
          <w:tcPr>
            <w:tcW w:w="689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65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65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9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10:30-11:10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95" w:right="90"/>
              <w:spacing w:before="74" w:line="30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每年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付息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一次</w:t>
            </w:r>
          </w:p>
        </w:tc>
        <w:tc>
          <w:tcPr>
            <w:tcW w:w="1939" w:type="dxa"/>
            <w:vAlign w:val="top"/>
          </w:tcPr>
          <w:p>
            <w:pPr>
              <w:pStyle w:val="TableText"/>
              <w:ind w:left="65"/>
              <w:spacing w:before="25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存续期内9月16日(节</w:t>
            </w:r>
          </w:p>
          <w:p>
            <w:pPr>
              <w:pStyle w:val="TableText"/>
              <w:ind w:left="514"/>
              <w:spacing w:before="12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假日顺延)</w:t>
            </w:r>
          </w:p>
        </w:tc>
        <w:tc>
          <w:tcPr>
            <w:tcW w:w="197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到期一次性偿还本金</w:t>
            </w:r>
          </w:p>
        </w:tc>
        <w:tc>
          <w:tcPr>
            <w:tcW w:w="112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108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1174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1438" w:hRule="atLeast"/>
        </w:trPr>
        <w:tc>
          <w:tcPr>
            <w:tcW w:w="66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50"/>
              <w:spacing w:before="2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2025年深圳市政</w:t>
            </w:r>
          </w:p>
          <w:p>
            <w:pPr>
              <w:pStyle w:val="TableText"/>
              <w:ind w:left="350" w:right="75" w:hanging="300"/>
              <w:spacing w:before="111" w:line="33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府再融资一般债</w:t>
            </w:r>
            <w:r>
              <w:rPr>
                <w:sz w:val="20"/>
                <w:szCs w:val="20"/>
                <w:spacing w:val="5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券(五期)</w:t>
            </w:r>
          </w:p>
        </w:tc>
        <w:tc>
          <w:tcPr>
            <w:tcW w:w="6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8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18.38</w:t>
            </w:r>
          </w:p>
        </w:tc>
        <w:tc>
          <w:tcPr>
            <w:tcW w:w="125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10:30-11:10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95"/>
              <w:spacing w:before="8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</w:t>
            </w:r>
          </w:p>
          <w:p>
            <w:pPr>
              <w:pStyle w:val="TableText"/>
              <w:ind w:left="95"/>
              <w:spacing w:before="11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年付</w:t>
            </w:r>
          </w:p>
          <w:p>
            <w:pPr>
              <w:pStyle w:val="TableText"/>
              <w:ind w:left="194" w:right="94" w:hanging="99"/>
              <w:spacing w:before="140" w:line="2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息一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次</w:t>
            </w:r>
          </w:p>
        </w:tc>
        <w:tc>
          <w:tcPr>
            <w:tcW w:w="1939" w:type="dxa"/>
            <w:vAlign w:val="top"/>
          </w:tcPr>
          <w:p>
            <w:pPr>
              <w:pStyle w:val="TableText"/>
              <w:ind w:left="115"/>
              <w:spacing w:before="2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存续期内9月16日和</w:t>
            </w:r>
          </w:p>
          <w:p>
            <w:pPr>
              <w:pStyle w:val="TableText"/>
              <w:ind w:left="814" w:right="155" w:hanging="649"/>
              <w:spacing w:before="111" w:line="35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3月16日(节假日顺</w:t>
            </w:r>
            <w:r>
              <w:rPr>
                <w:sz w:val="20"/>
                <w:szCs w:val="20"/>
                <w:spacing w:val="7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延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)</w:t>
            </w:r>
          </w:p>
        </w:tc>
        <w:tc>
          <w:tcPr>
            <w:tcW w:w="197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到期一次性偿还本金</w:t>
            </w:r>
          </w:p>
        </w:tc>
        <w:tc>
          <w:tcPr>
            <w:tcW w:w="112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10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117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1083" w:hRule="atLeast"/>
        </w:trPr>
        <w:tc>
          <w:tcPr>
            <w:tcW w:w="664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50"/>
              <w:spacing w:before="9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2025年深圳市政</w:t>
            </w:r>
          </w:p>
          <w:p>
            <w:pPr>
              <w:pStyle w:val="TableText"/>
              <w:ind w:left="350" w:right="75" w:hanging="300"/>
              <w:spacing w:before="131" w:line="2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府再融资专项债</w:t>
            </w:r>
            <w:r>
              <w:rPr>
                <w:sz w:val="20"/>
                <w:szCs w:val="20"/>
                <w:spacing w:val="5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券(五期)</w:t>
            </w:r>
          </w:p>
        </w:tc>
        <w:tc>
          <w:tcPr>
            <w:tcW w:w="68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65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0.484</w:t>
            </w:r>
          </w:p>
        </w:tc>
        <w:tc>
          <w:tcPr>
            <w:tcW w:w="125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10:30-11:10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95" w:right="90"/>
              <w:spacing w:before="98" w:line="30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每年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付息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6"/>
              </w:rPr>
              <w:t>一次</w:t>
            </w:r>
          </w:p>
        </w:tc>
        <w:tc>
          <w:tcPr>
            <w:tcW w:w="1939" w:type="dxa"/>
            <w:vAlign w:val="top"/>
          </w:tcPr>
          <w:p>
            <w:pPr>
              <w:pStyle w:val="TableText"/>
              <w:ind w:left="65"/>
              <w:spacing w:before="26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存续期内9月16日(节</w:t>
            </w:r>
          </w:p>
          <w:p>
            <w:pPr>
              <w:pStyle w:val="TableText"/>
              <w:ind w:left="514"/>
              <w:spacing w:before="13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假日顺延)</w:t>
            </w:r>
          </w:p>
        </w:tc>
        <w:tc>
          <w:tcPr>
            <w:tcW w:w="197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到期一次性偿还本金</w:t>
            </w:r>
          </w:p>
        </w:tc>
        <w:tc>
          <w:tcPr>
            <w:tcW w:w="112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108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1174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6840" w:h="11910"/>
          <w:pgMar w:top="1012" w:right="1964" w:bottom="1076" w:left="1480" w:header="0" w:footer="764" w:gutter="0"/>
        </w:sectPr>
        <w:rPr/>
      </w:pPr>
    </w:p>
    <w:p>
      <w:pPr>
        <w:spacing w:before="70"/>
        <w:rPr/>
      </w:pPr>
      <w:r/>
    </w:p>
    <w:p>
      <w:pPr>
        <w:spacing w:before="69"/>
        <w:rPr/>
      </w:pPr>
      <w:r/>
    </w:p>
    <w:p>
      <w:pPr>
        <w:spacing w:before="69"/>
        <w:rPr/>
      </w:pPr>
      <w:r/>
    </w:p>
    <w:tbl>
      <w:tblPr>
        <w:tblStyle w:val="TableNormal"/>
        <w:tblW w:w="130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64"/>
        <w:gridCol w:w="1549"/>
        <w:gridCol w:w="700"/>
        <w:gridCol w:w="879"/>
        <w:gridCol w:w="1259"/>
        <w:gridCol w:w="620"/>
        <w:gridCol w:w="1938"/>
        <w:gridCol w:w="2018"/>
        <w:gridCol w:w="1149"/>
        <w:gridCol w:w="1099"/>
        <w:gridCol w:w="1174"/>
      </w:tblGrid>
      <w:tr>
        <w:trPr>
          <w:trHeight w:val="1090" w:hRule="atLeast"/>
        </w:trPr>
        <w:tc>
          <w:tcPr>
            <w:tcW w:w="664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100"/>
              <w:spacing w:before="72" w:line="219" w:lineRule="auto"/>
              <w:rPr/>
            </w:pPr>
            <w:r>
              <w:rPr>
                <w:spacing w:val="-1"/>
              </w:rPr>
              <w:t>2025年深圳市政</w:t>
            </w:r>
          </w:p>
          <w:p>
            <w:pPr>
              <w:pStyle w:val="TableText"/>
              <w:ind w:left="100"/>
              <w:spacing w:before="143" w:line="219" w:lineRule="auto"/>
              <w:rPr/>
            </w:pPr>
            <w:r>
              <w:rPr>
                <w:spacing w:val="-1"/>
              </w:rPr>
              <w:t>府再融资专项债</w:t>
            </w:r>
          </w:p>
          <w:p>
            <w:pPr>
              <w:pStyle w:val="TableText"/>
              <w:ind w:left="380"/>
              <w:spacing w:before="146" w:line="220" w:lineRule="auto"/>
              <w:rPr/>
            </w:pPr>
            <w:r>
              <w:rPr>
                <w:spacing w:val="8"/>
              </w:rPr>
              <w:t>券(六期)</w:t>
            </w:r>
          </w:p>
        </w:tc>
        <w:tc>
          <w:tcPr>
            <w:tcW w:w="700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2"/>
              <w:rPr/>
            </w:pPr>
            <w:r>
              <w:rPr/>
              <w:t>5</w:t>
            </w:r>
          </w:p>
        </w:tc>
        <w:tc>
          <w:tcPr>
            <w:tcW w:w="87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62" w:line="239" w:lineRule="auto"/>
              <w:rPr/>
            </w:pPr>
            <w:r>
              <w:rPr>
                <w:spacing w:val="-2"/>
              </w:rPr>
              <w:t>0.51</w:t>
            </w:r>
          </w:p>
        </w:tc>
        <w:tc>
          <w:tcPr>
            <w:tcW w:w="125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2" w:line="239" w:lineRule="auto"/>
              <w:rPr/>
            </w:pPr>
            <w:r>
              <w:rPr>
                <w:spacing w:val="-2"/>
              </w:rPr>
              <w:t>10:30-11:10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113" w:right="101"/>
              <w:spacing w:before="61" w:line="330" w:lineRule="auto"/>
              <w:jc w:val="both"/>
              <w:rPr/>
            </w:pPr>
            <w:r>
              <w:rPr>
                <w:spacing w:val="-4"/>
              </w:rPr>
              <w:t>每年</w:t>
            </w:r>
            <w:r>
              <w:rPr/>
              <w:t xml:space="preserve"> </w:t>
            </w:r>
            <w:r>
              <w:rPr>
                <w:spacing w:val="7"/>
              </w:rPr>
              <w:t>付息</w:t>
            </w:r>
            <w:r>
              <w:rPr/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103"/>
              <w:spacing w:before="262" w:line="219" w:lineRule="auto"/>
              <w:rPr/>
            </w:pPr>
            <w:r>
              <w:rPr>
                <w:spacing w:val="-1"/>
              </w:rPr>
              <w:t>存续期内9月16日(节</w:t>
            </w:r>
          </w:p>
          <w:p>
            <w:pPr>
              <w:pStyle w:val="TableText"/>
              <w:ind w:left="533"/>
              <w:spacing w:before="123" w:line="219" w:lineRule="auto"/>
              <w:rPr/>
            </w:pPr>
            <w:r>
              <w:rPr>
                <w:spacing w:val="7"/>
              </w:rPr>
              <w:t>假日顺延)</w:t>
            </w:r>
          </w:p>
        </w:tc>
        <w:tc>
          <w:tcPr>
            <w:tcW w:w="2018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114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74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439" w:hRule="atLeast"/>
        </w:trPr>
        <w:tc>
          <w:tcPr>
            <w:tcW w:w="66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62" w:line="241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549" w:type="dxa"/>
            <w:vAlign w:val="top"/>
          </w:tcPr>
          <w:p>
            <w:pPr>
              <w:pStyle w:val="TableText"/>
              <w:ind w:left="100"/>
              <w:spacing w:before="262" w:line="219" w:lineRule="auto"/>
              <w:rPr/>
            </w:pPr>
            <w:r>
              <w:rPr>
                <w:spacing w:val="-1"/>
              </w:rPr>
              <w:t>2025年深圳市政</w:t>
            </w:r>
          </w:p>
          <w:p>
            <w:pPr>
              <w:pStyle w:val="TableText"/>
              <w:ind w:left="100"/>
              <w:spacing w:before="153" w:line="219" w:lineRule="auto"/>
              <w:rPr/>
            </w:pPr>
            <w:r>
              <w:rPr>
                <w:spacing w:val="-1"/>
              </w:rPr>
              <w:t>府再融资专项债</w:t>
            </w:r>
          </w:p>
          <w:p>
            <w:pPr>
              <w:pStyle w:val="TableText"/>
              <w:ind w:left="380"/>
              <w:spacing w:before="126" w:line="220" w:lineRule="auto"/>
              <w:rPr/>
            </w:pPr>
            <w:r>
              <w:rPr>
                <w:spacing w:val="8"/>
              </w:rPr>
              <w:t>券(七期)</w:t>
            </w:r>
          </w:p>
        </w:tc>
        <w:tc>
          <w:tcPr>
            <w:tcW w:w="70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61" w:line="239" w:lineRule="auto"/>
              <w:rPr/>
            </w:pPr>
            <w:r>
              <w:rPr>
                <w:spacing w:val="-2"/>
              </w:rPr>
              <w:t>22.9953</w:t>
            </w:r>
          </w:p>
        </w:tc>
        <w:tc>
          <w:tcPr>
            <w:tcW w:w="125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61" w:line="239" w:lineRule="auto"/>
              <w:rPr/>
            </w:pPr>
            <w:r>
              <w:rPr>
                <w:spacing w:val="-2"/>
              </w:rPr>
              <w:t>10:30-11:10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113"/>
              <w:spacing w:before="72" w:line="219" w:lineRule="auto"/>
              <w:rPr/>
            </w:pPr>
            <w:r>
              <w:rPr>
                <w:spacing w:val="-2"/>
              </w:rPr>
              <w:t>每半</w:t>
            </w:r>
          </w:p>
          <w:p>
            <w:pPr>
              <w:pStyle w:val="TableText"/>
              <w:ind w:left="113"/>
              <w:spacing w:before="144" w:line="219" w:lineRule="auto"/>
              <w:rPr/>
            </w:pPr>
            <w:r>
              <w:rPr>
                <w:spacing w:val="-3"/>
              </w:rPr>
              <w:t>年付</w:t>
            </w:r>
          </w:p>
          <w:p>
            <w:pPr>
              <w:pStyle w:val="TableText"/>
              <w:ind w:left="203" w:right="105" w:hanging="90"/>
              <w:spacing w:before="143" w:line="300" w:lineRule="auto"/>
              <w:rPr/>
            </w:pPr>
            <w:r>
              <w:rPr>
                <w:spacing w:val="5"/>
              </w:rPr>
              <w:t>息一</w:t>
            </w:r>
            <w:r>
              <w:rPr/>
              <w:t xml:space="preserve"> </w:t>
            </w:r>
            <w:r>
              <w:rPr/>
              <w:t>次</w:t>
            </w:r>
          </w:p>
        </w:tc>
        <w:tc>
          <w:tcPr>
            <w:tcW w:w="1938" w:type="dxa"/>
            <w:vAlign w:val="top"/>
          </w:tcPr>
          <w:p>
            <w:pPr>
              <w:pStyle w:val="TableText"/>
              <w:ind w:left="154"/>
              <w:spacing w:before="272" w:line="219" w:lineRule="auto"/>
              <w:rPr/>
            </w:pPr>
            <w:r>
              <w:rPr>
                <w:spacing w:val="-1"/>
              </w:rPr>
              <w:t>存续期内9月16日和</w:t>
            </w:r>
          </w:p>
          <w:p>
            <w:pPr>
              <w:pStyle w:val="TableText"/>
              <w:ind w:left="813" w:right="215" w:hanging="609"/>
              <w:spacing w:before="134" w:line="366" w:lineRule="auto"/>
              <w:rPr/>
            </w:pPr>
            <w:r>
              <w:rPr>
                <w:spacing w:val="-2"/>
              </w:rPr>
              <w:t>3月16日(节假日顺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延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201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114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9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17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1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6840" w:h="11910"/>
          <w:pgMar w:top="1012" w:right="1269" w:bottom="896" w:left="1975" w:header="0" w:footer="571" w:gutter="0"/>
        </w:sectPr>
        <w:rPr/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1"/>
        </w:rPr>
        <w:t>附件2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3570" w:right="1270" w:hanging="2079"/>
        <w:spacing w:before="143" w:line="23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6"/>
        </w:rPr>
        <w:t>2025年深圳市政府债券承销团</w:t>
      </w:r>
      <w:r>
        <w:rPr>
          <w:rFonts w:ascii="SimSun" w:hAnsi="SimSun" w:eastAsia="SimSun" w:cs="SimSun"/>
          <w:sz w:val="44"/>
          <w:szCs w:val="44"/>
          <w:spacing w:val="6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4"/>
        </w:rPr>
        <w:t>成员名单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820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一、银行机构</w:t>
      </w:r>
    </w:p>
    <w:p>
      <w:pPr>
        <w:pStyle w:val="BodyText"/>
        <w:spacing w:line="246" w:lineRule="auto"/>
        <w:rPr/>
      </w:pPr>
      <w:r/>
    </w:p>
    <w:p>
      <w:pPr>
        <w:ind w:left="905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1.</w:t>
      </w:r>
      <w:r>
        <w:rPr>
          <w:rFonts w:ascii="SimSun" w:hAnsi="SimSun" w:eastAsia="SimSun" w:cs="SimSun"/>
          <w:sz w:val="31"/>
          <w:szCs w:val="31"/>
          <w:spacing w:val="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上海浦东发展银行股份有限公司</w:t>
      </w:r>
    </w:p>
    <w:p>
      <w:pPr>
        <w:pStyle w:val="BodyText"/>
        <w:spacing w:line="316" w:lineRule="auto"/>
        <w:rPr/>
      </w:pPr>
      <w:r/>
    </w:p>
    <w:p>
      <w:pPr>
        <w:ind w:left="90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2.</w:t>
      </w:r>
      <w:r>
        <w:rPr>
          <w:rFonts w:ascii="SimSun" w:hAnsi="SimSun" w:eastAsia="SimSun" w:cs="SimSun"/>
          <w:sz w:val="31"/>
          <w:szCs w:val="31"/>
          <w:spacing w:val="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上海银行股份有限公司</w:t>
      </w:r>
    </w:p>
    <w:p>
      <w:pPr>
        <w:pStyle w:val="BodyText"/>
        <w:spacing w:line="296" w:lineRule="auto"/>
        <w:rPr/>
      </w:pPr>
      <w:r/>
    </w:p>
    <w:p>
      <w:pPr>
        <w:ind w:left="90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3.</w:t>
      </w:r>
      <w:r>
        <w:rPr>
          <w:rFonts w:ascii="SimSun" w:hAnsi="SimSun" w:eastAsia="SimSun" w:cs="SimSun"/>
          <w:sz w:val="31"/>
          <w:szCs w:val="31"/>
          <w:spacing w:val="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广东华兴银行股份有限公司</w:t>
      </w:r>
    </w:p>
    <w:p>
      <w:pPr>
        <w:pStyle w:val="BodyText"/>
        <w:spacing w:line="296" w:lineRule="auto"/>
        <w:rPr/>
      </w:pPr>
      <w:r/>
    </w:p>
    <w:p>
      <w:pPr>
        <w:ind w:left="90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4.</w:t>
      </w:r>
      <w:r>
        <w:rPr>
          <w:rFonts w:ascii="SimSun" w:hAnsi="SimSun" w:eastAsia="SimSun" w:cs="SimSun"/>
          <w:sz w:val="31"/>
          <w:szCs w:val="31"/>
          <w:spacing w:val="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广发银行股份有限公司</w:t>
      </w:r>
    </w:p>
    <w:p>
      <w:pPr>
        <w:pStyle w:val="BodyText"/>
        <w:spacing w:line="296" w:lineRule="auto"/>
        <w:rPr/>
      </w:pPr>
      <w:r/>
    </w:p>
    <w:p>
      <w:pPr>
        <w:ind w:left="90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5.</w:t>
      </w:r>
      <w:r>
        <w:rPr>
          <w:rFonts w:ascii="SimSun" w:hAnsi="SimSun" w:eastAsia="SimSun" w:cs="SimSun"/>
          <w:sz w:val="31"/>
          <w:szCs w:val="31"/>
          <w:spacing w:val="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广州银行股份有限公司</w:t>
      </w:r>
    </w:p>
    <w:p>
      <w:pPr>
        <w:pStyle w:val="BodyText"/>
        <w:spacing w:line="326" w:lineRule="auto"/>
        <w:rPr/>
      </w:pPr>
      <w:r/>
    </w:p>
    <w:p>
      <w:pPr>
        <w:ind w:left="90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6.</w:t>
      </w:r>
      <w:r>
        <w:rPr>
          <w:rFonts w:ascii="SimSun" w:hAnsi="SimSun" w:eastAsia="SimSun" w:cs="SimSun"/>
          <w:sz w:val="31"/>
          <w:szCs w:val="31"/>
          <w:spacing w:val="1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天津银行股份有限公司</w:t>
      </w:r>
    </w:p>
    <w:p>
      <w:pPr>
        <w:pStyle w:val="BodyText"/>
        <w:spacing w:line="296" w:lineRule="auto"/>
        <w:rPr/>
      </w:pPr>
      <w:r/>
    </w:p>
    <w:p>
      <w:pPr>
        <w:ind w:left="90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7.</w:t>
      </w:r>
      <w:r>
        <w:rPr>
          <w:rFonts w:ascii="SimSun" w:hAnsi="SimSun" w:eastAsia="SimSun" w:cs="SimSun"/>
          <w:sz w:val="31"/>
          <w:szCs w:val="31"/>
          <w:spacing w:val="1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中国工商银行股份有限公司</w:t>
      </w:r>
    </w:p>
    <w:p>
      <w:pPr>
        <w:pStyle w:val="BodyText"/>
        <w:spacing w:line="306" w:lineRule="auto"/>
        <w:rPr/>
      </w:pPr>
      <w:r/>
    </w:p>
    <w:p>
      <w:pPr>
        <w:ind w:left="90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8.</w:t>
      </w:r>
      <w:r>
        <w:rPr>
          <w:rFonts w:ascii="SimSun" w:hAnsi="SimSun" w:eastAsia="SimSun" w:cs="SimSun"/>
          <w:sz w:val="31"/>
          <w:szCs w:val="31"/>
          <w:spacing w:val="1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中国民生银行股份有限公司</w:t>
      </w:r>
    </w:p>
    <w:p>
      <w:pPr>
        <w:pStyle w:val="BodyText"/>
        <w:spacing w:line="306" w:lineRule="auto"/>
        <w:rPr/>
      </w:pPr>
      <w:r/>
    </w:p>
    <w:p>
      <w:pPr>
        <w:ind w:left="90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9.</w:t>
      </w:r>
      <w:r>
        <w:rPr>
          <w:rFonts w:ascii="SimSun" w:hAnsi="SimSun" w:eastAsia="SimSun" w:cs="SimSun"/>
          <w:sz w:val="31"/>
          <w:szCs w:val="31"/>
          <w:spacing w:val="1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中国光大银行股份有限公司</w:t>
      </w:r>
    </w:p>
    <w:p>
      <w:pPr>
        <w:pStyle w:val="BodyText"/>
        <w:spacing w:line="306" w:lineRule="auto"/>
        <w:rPr/>
      </w:pPr>
      <w:r/>
    </w:p>
    <w:p>
      <w:pPr>
        <w:ind w:left="81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10.</w:t>
      </w:r>
      <w:r>
        <w:rPr>
          <w:rFonts w:ascii="SimSun" w:hAnsi="SimSun" w:eastAsia="SimSun" w:cs="SimSun"/>
          <w:sz w:val="31"/>
          <w:szCs w:val="31"/>
          <w:spacing w:val="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中国农业银行股份有限公司</w:t>
      </w:r>
    </w:p>
    <w:p>
      <w:pPr>
        <w:pStyle w:val="BodyText"/>
        <w:spacing w:line="296" w:lineRule="auto"/>
        <w:rPr/>
      </w:pPr>
      <w:r/>
    </w:p>
    <w:p>
      <w:pPr>
        <w:ind w:left="81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11.</w:t>
      </w:r>
      <w:r>
        <w:rPr>
          <w:rFonts w:ascii="SimSun" w:hAnsi="SimSun" w:eastAsia="SimSun" w:cs="SimSun"/>
          <w:sz w:val="31"/>
          <w:szCs w:val="31"/>
          <w:spacing w:val="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中国建设银行股份有限公司</w:t>
      </w:r>
    </w:p>
    <w:p>
      <w:pPr>
        <w:spacing w:line="221" w:lineRule="auto"/>
        <w:sectPr>
          <w:footerReference w:type="default" r:id="rId9"/>
          <w:pgSz w:w="11910" w:h="16840"/>
          <w:pgMar w:top="1431" w:right="1786" w:bottom="1736" w:left="1474" w:header="0" w:footer="14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6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</w:rPr>
        <w:t>12. </w:t>
      </w:r>
      <w:r>
        <w:rPr>
          <w:rFonts w:ascii="FangSong" w:hAnsi="FangSong" w:eastAsia="FangSong" w:cs="FangSong"/>
          <w:sz w:val="32"/>
          <w:szCs w:val="32"/>
          <w:spacing w:val="4"/>
        </w:rPr>
        <w:t>中国银行股份有限公司</w:t>
      </w:r>
    </w:p>
    <w:p>
      <w:pPr>
        <w:pStyle w:val="BodyText"/>
        <w:spacing w:line="291" w:lineRule="auto"/>
        <w:rPr/>
      </w:pPr>
      <w:r/>
    </w:p>
    <w:p>
      <w:pPr>
        <w:ind w:left="6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13.</w:t>
      </w:r>
      <w:r>
        <w:rPr>
          <w:rFonts w:ascii="SimSun" w:hAnsi="SimSun" w:eastAsia="SimSun" w:cs="SimSun"/>
          <w:sz w:val="32"/>
          <w:szCs w:val="32"/>
          <w:spacing w:val="6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中信银行股份有限公司</w:t>
      </w:r>
    </w:p>
    <w:p>
      <w:pPr>
        <w:pStyle w:val="BodyText"/>
        <w:spacing w:line="301" w:lineRule="auto"/>
        <w:rPr/>
      </w:pPr>
      <w:r/>
    </w:p>
    <w:p>
      <w:pPr>
        <w:ind w:left="6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14.</w:t>
      </w:r>
      <w:r>
        <w:rPr>
          <w:rFonts w:ascii="SimSun" w:hAnsi="SimSun" w:eastAsia="SimSun" w:cs="SimSun"/>
          <w:sz w:val="32"/>
          <w:szCs w:val="32"/>
          <w:spacing w:val="8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中原银行股份有限公司</w:t>
      </w:r>
    </w:p>
    <w:p>
      <w:pPr>
        <w:pStyle w:val="BodyText"/>
        <w:spacing w:line="281" w:lineRule="auto"/>
        <w:rPr/>
      </w:pPr>
      <w:r/>
    </w:p>
    <w:p>
      <w:pPr>
        <w:ind w:left="6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15.</w:t>
      </w:r>
      <w:r>
        <w:rPr>
          <w:rFonts w:ascii="SimSun" w:hAnsi="SimSun" w:eastAsia="SimSun" w:cs="SimSun"/>
          <w:sz w:val="32"/>
          <w:szCs w:val="32"/>
          <w:spacing w:val="8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平安银行股份有限公司</w:t>
      </w:r>
    </w:p>
    <w:p>
      <w:pPr>
        <w:pStyle w:val="BodyText"/>
        <w:spacing w:line="301" w:lineRule="auto"/>
        <w:rPr/>
      </w:pPr>
      <w:r/>
    </w:p>
    <w:p>
      <w:pPr>
        <w:ind w:left="6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16.</w:t>
      </w:r>
      <w:r>
        <w:rPr>
          <w:rFonts w:ascii="SimSun" w:hAnsi="SimSun" w:eastAsia="SimSun" w:cs="SimSun"/>
          <w:sz w:val="32"/>
          <w:szCs w:val="32"/>
          <w:spacing w:val="8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北京银行股份有限公司</w:t>
      </w:r>
    </w:p>
    <w:p>
      <w:pPr>
        <w:pStyle w:val="BodyText"/>
        <w:spacing w:line="320" w:lineRule="auto"/>
        <w:rPr/>
      </w:pPr>
      <w:r/>
    </w:p>
    <w:p>
      <w:pPr>
        <w:ind w:left="6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17.</w:t>
      </w:r>
      <w:r>
        <w:rPr>
          <w:rFonts w:ascii="SimSun" w:hAnsi="SimSun" w:eastAsia="SimSun" w:cs="SimSun"/>
          <w:sz w:val="32"/>
          <w:szCs w:val="32"/>
          <w:spacing w:val="8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宁波银行股份有限公司</w:t>
      </w:r>
    </w:p>
    <w:p>
      <w:pPr>
        <w:pStyle w:val="BodyText"/>
        <w:spacing w:line="291" w:lineRule="auto"/>
        <w:rPr/>
      </w:pPr>
      <w:r/>
    </w:p>
    <w:p>
      <w:pPr>
        <w:ind w:left="6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18.</w:t>
      </w:r>
      <w:r>
        <w:rPr>
          <w:rFonts w:ascii="SimSun" w:hAnsi="SimSun" w:eastAsia="SimSun" w:cs="SimSun"/>
          <w:sz w:val="32"/>
          <w:szCs w:val="32"/>
          <w:spacing w:val="8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华夏银行股份有限公司</w:t>
      </w:r>
    </w:p>
    <w:p>
      <w:pPr>
        <w:pStyle w:val="BodyText"/>
        <w:spacing w:line="281" w:lineRule="auto"/>
        <w:rPr/>
      </w:pPr>
      <w:r/>
    </w:p>
    <w:p>
      <w:pPr>
        <w:ind w:left="6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19.</w:t>
      </w:r>
      <w:r>
        <w:rPr>
          <w:rFonts w:ascii="SimSun" w:hAnsi="SimSun" w:eastAsia="SimSun" w:cs="SimSun"/>
          <w:sz w:val="32"/>
          <w:szCs w:val="32"/>
          <w:spacing w:val="8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交通银行股份有限公司</w:t>
      </w:r>
    </w:p>
    <w:p>
      <w:pPr>
        <w:pStyle w:val="BodyText"/>
        <w:spacing w:line="301" w:lineRule="auto"/>
        <w:rPr/>
      </w:pPr>
      <w:r/>
    </w:p>
    <w:p>
      <w:pPr>
        <w:ind w:left="6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20.</w:t>
      </w:r>
      <w:r>
        <w:rPr>
          <w:rFonts w:ascii="SimSun" w:hAnsi="SimSun" w:eastAsia="SimSun" w:cs="SimSun"/>
          <w:sz w:val="32"/>
          <w:szCs w:val="32"/>
          <w:spacing w:val="7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江苏银行股份有限公司</w:t>
      </w:r>
    </w:p>
    <w:p>
      <w:pPr>
        <w:pStyle w:val="BodyText"/>
        <w:spacing w:line="301" w:lineRule="auto"/>
        <w:rPr/>
      </w:pPr>
      <w:r/>
    </w:p>
    <w:p>
      <w:pPr>
        <w:ind w:left="6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21.</w:t>
      </w:r>
      <w:r>
        <w:rPr>
          <w:rFonts w:ascii="SimSun" w:hAnsi="SimSun" w:eastAsia="SimSun" w:cs="SimSun"/>
          <w:sz w:val="32"/>
          <w:szCs w:val="32"/>
          <w:spacing w:val="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兴业银行股份有限公司</w:t>
      </w:r>
    </w:p>
    <w:p>
      <w:pPr>
        <w:pStyle w:val="BodyText"/>
        <w:spacing w:line="271" w:lineRule="auto"/>
        <w:rPr/>
      </w:pPr>
      <w:r/>
    </w:p>
    <w:p>
      <w:pPr>
        <w:ind w:left="683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22.</w:t>
      </w:r>
      <w:r>
        <w:rPr>
          <w:rFonts w:ascii="SimSun" w:hAnsi="SimSun" w:eastAsia="SimSun" w:cs="SimSun"/>
          <w:sz w:val="32"/>
          <w:szCs w:val="32"/>
          <w:spacing w:val="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招商银行股份有限公司</w:t>
      </w:r>
    </w:p>
    <w:p>
      <w:pPr>
        <w:pStyle w:val="BodyText"/>
        <w:spacing w:line="310" w:lineRule="auto"/>
        <w:rPr/>
      </w:pPr>
      <w:r/>
    </w:p>
    <w:p>
      <w:pPr>
        <w:ind w:left="68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23.</w:t>
      </w:r>
      <w:r>
        <w:rPr>
          <w:rFonts w:ascii="SimSun" w:hAnsi="SimSun" w:eastAsia="SimSun" w:cs="SimSun"/>
          <w:sz w:val="32"/>
          <w:szCs w:val="32"/>
          <w:spacing w:val="7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杭州银行股份有限公司</w:t>
      </w:r>
    </w:p>
    <w:p>
      <w:pPr>
        <w:pStyle w:val="BodyText"/>
        <w:spacing w:line="276" w:lineRule="auto"/>
        <w:rPr/>
      </w:pPr>
      <w:r/>
    </w:p>
    <w:p>
      <w:pPr>
        <w:ind w:left="688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6"/>
        </w:rPr>
        <w:t>24.</w:t>
      </w:r>
      <w:r>
        <w:rPr>
          <w:rFonts w:ascii="SimSun" w:hAnsi="SimSun" w:eastAsia="SimSun" w:cs="SimSun"/>
          <w:sz w:val="32"/>
          <w:szCs w:val="32"/>
          <w:spacing w:val="6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6"/>
        </w:rPr>
        <w:t>国家开发银行</w:t>
      </w:r>
    </w:p>
    <w:p>
      <w:pPr>
        <w:pStyle w:val="BodyText"/>
        <w:spacing w:line="301" w:lineRule="auto"/>
        <w:rPr/>
      </w:pPr>
      <w:r/>
    </w:p>
    <w:p>
      <w:pPr>
        <w:ind w:left="688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18"/>
        </w:rPr>
        <w:t>25.</w:t>
      </w:r>
      <w:r>
        <w:rPr>
          <w:rFonts w:ascii="SimSun" w:hAnsi="SimSun" w:eastAsia="SimSun" w:cs="SimSun"/>
          <w:sz w:val="32"/>
          <w:szCs w:val="32"/>
          <w:spacing w:val="73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18"/>
        </w:rPr>
        <w:t>星展银行(中国)有限公司</w:t>
      </w:r>
    </w:p>
    <w:p>
      <w:pPr>
        <w:pStyle w:val="BodyText"/>
        <w:spacing w:line="301" w:lineRule="auto"/>
        <w:rPr/>
      </w:pPr>
      <w:r/>
    </w:p>
    <w:p>
      <w:pPr>
        <w:ind w:left="688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2"/>
        </w:rPr>
        <w:t>26.</w:t>
      </w:r>
      <w:r>
        <w:rPr>
          <w:rFonts w:ascii="SimSun" w:hAnsi="SimSun" w:eastAsia="SimSun" w:cs="SimSun"/>
          <w:sz w:val="32"/>
          <w:szCs w:val="32"/>
          <w:spacing w:val="66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2"/>
        </w:rPr>
        <w:t>恒丰银行股份有限公司</w:t>
      </w:r>
    </w:p>
    <w:p>
      <w:pPr>
        <w:pStyle w:val="BodyText"/>
        <w:spacing w:line="281" w:lineRule="auto"/>
        <w:rPr/>
      </w:pPr>
      <w:r/>
    </w:p>
    <w:p>
      <w:pPr>
        <w:ind w:left="688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3"/>
        </w:rPr>
        <w:t>27.</w:t>
      </w:r>
      <w:r>
        <w:rPr>
          <w:rFonts w:ascii="SimSun" w:hAnsi="SimSun" w:eastAsia="SimSun" w:cs="SimSun"/>
          <w:sz w:val="32"/>
          <w:szCs w:val="32"/>
          <w:spacing w:val="68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3"/>
        </w:rPr>
        <w:t>珠海华润银行股份有限公司</w:t>
      </w:r>
    </w:p>
    <w:p>
      <w:pPr>
        <w:spacing w:line="221" w:lineRule="auto"/>
        <w:sectPr>
          <w:footerReference w:type="default" r:id="rId10"/>
          <w:pgSz w:w="11910" w:h="16840"/>
          <w:pgMar w:top="1431" w:right="1182" w:bottom="1814" w:left="1786" w:header="0" w:footer="1490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57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28.</w:t>
      </w:r>
      <w:r>
        <w:rPr>
          <w:rFonts w:ascii="SimSun" w:hAnsi="SimSun" w:eastAsia="SimSun" w:cs="SimSun"/>
          <w:sz w:val="31"/>
          <w:szCs w:val="31"/>
          <w:spacing w:val="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浙商银行股份有限公司</w:t>
      </w:r>
    </w:p>
    <w:p>
      <w:pPr>
        <w:pStyle w:val="BodyText"/>
        <w:spacing w:line="306" w:lineRule="auto"/>
        <w:rPr/>
      </w:pPr>
      <w:r/>
    </w:p>
    <w:p>
      <w:pPr>
        <w:ind w:left="57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29.</w:t>
      </w:r>
      <w:r>
        <w:rPr>
          <w:rFonts w:ascii="SimSun" w:hAnsi="SimSun" w:eastAsia="SimSun" w:cs="SimSun"/>
          <w:sz w:val="31"/>
          <w:szCs w:val="31"/>
          <w:spacing w:val="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深圳农村商业银行股份有限公司</w:t>
      </w:r>
    </w:p>
    <w:p>
      <w:pPr>
        <w:pStyle w:val="BodyText"/>
        <w:spacing w:line="306" w:lineRule="auto"/>
        <w:rPr/>
      </w:pPr>
      <w:r/>
    </w:p>
    <w:p>
      <w:pPr>
        <w:ind w:left="57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30.</w:t>
      </w:r>
      <w:r>
        <w:rPr>
          <w:rFonts w:ascii="SimSun" w:hAnsi="SimSun" w:eastAsia="SimSun" w:cs="SimSun"/>
          <w:sz w:val="31"/>
          <w:szCs w:val="31"/>
          <w:spacing w:val="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渤海银行股份有限公司</w:t>
      </w:r>
    </w:p>
    <w:p>
      <w:pPr>
        <w:pStyle w:val="BodyText"/>
        <w:spacing w:line="286" w:lineRule="auto"/>
        <w:rPr/>
      </w:pPr>
      <w:r/>
    </w:p>
    <w:p>
      <w:pPr>
        <w:ind w:left="57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31.</w:t>
      </w:r>
      <w:r>
        <w:rPr>
          <w:rFonts w:ascii="SimSun" w:hAnsi="SimSun" w:eastAsia="SimSun" w:cs="SimSun"/>
          <w:sz w:val="31"/>
          <w:szCs w:val="31"/>
          <w:spacing w:val="9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富邦华一银行有限公司</w:t>
      </w:r>
    </w:p>
    <w:p>
      <w:pPr>
        <w:pStyle w:val="BodyText"/>
        <w:spacing w:line="316" w:lineRule="auto"/>
        <w:rPr/>
      </w:pPr>
      <w:r/>
    </w:p>
    <w:p>
      <w:pPr>
        <w:ind w:left="570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32.</w:t>
      </w:r>
      <w:r>
        <w:rPr>
          <w:rFonts w:ascii="SimSun" w:hAnsi="SimSun" w:eastAsia="SimSun" w:cs="SimSun"/>
          <w:sz w:val="31"/>
          <w:szCs w:val="31"/>
          <w:spacing w:val="10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徽商银行股份有限公司</w:t>
      </w:r>
    </w:p>
    <w:p>
      <w:pPr>
        <w:pStyle w:val="BodyText"/>
        <w:spacing w:line="356" w:lineRule="auto"/>
        <w:rPr/>
      </w:pPr>
      <w:r/>
    </w:p>
    <w:p>
      <w:pPr>
        <w:ind w:left="714"/>
        <w:spacing w:before="10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二、证券机构</w:t>
      </w:r>
    </w:p>
    <w:p>
      <w:pPr>
        <w:pStyle w:val="BodyText"/>
        <w:spacing w:line="257" w:lineRule="auto"/>
        <w:rPr/>
      </w:pPr>
      <w:r/>
    </w:p>
    <w:p>
      <w:pPr>
        <w:ind w:left="57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1.</w:t>
      </w:r>
      <w:r>
        <w:rPr>
          <w:rFonts w:ascii="SimSun" w:hAnsi="SimSun" w:eastAsia="SimSun" w:cs="SimSun"/>
          <w:sz w:val="31"/>
          <w:szCs w:val="31"/>
          <w:spacing w:val="1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万和证券股份有限公司</w:t>
      </w:r>
    </w:p>
    <w:p>
      <w:pPr>
        <w:pStyle w:val="BodyText"/>
        <w:spacing w:line="284" w:lineRule="auto"/>
        <w:rPr/>
      </w:pPr>
      <w:r/>
    </w:p>
    <w:p>
      <w:pPr>
        <w:ind w:left="57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2.</w:t>
      </w:r>
      <w:r>
        <w:rPr>
          <w:rFonts w:ascii="SimSun" w:hAnsi="SimSun" w:eastAsia="SimSun" w:cs="SimSun"/>
          <w:sz w:val="31"/>
          <w:szCs w:val="31"/>
          <w:spacing w:val="1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万联证券股份有限公司</w:t>
      </w:r>
    </w:p>
    <w:p>
      <w:pPr>
        <w:pStyle w:val="BodyText"/>
        <w:spacing w:line="314" w:lineRule="auto"/>
        <w:rPr/>
      </w:pPr>
      <w:r/>
    </w:p>
    <w:p>
      <w:pPr>
        <w:ind w:left="57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3.</w:t>
      </w:r>
      <w:r>
        <w:rPr>
          <w:rFonts w:ascii="SimSun" w:hAnsi="SimSun" w:eastAsia="SimSun" w:cs="SimSun"/>
          <w:sz w:val="31"/>
          <w:szCs w:val="31"/>
          <w:spacing w:val="1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五矿证券有限公司</w:t>
      </w:r>
    </w:p>
    <w:p>
      <w:pPr>
        <w:pStyle w:val="BodyText"/>
        <w:spacing w:line="304" w:lineRule="auto"/>
        <w:rPr/>
      </w:pPr>
      <w:r/>
    </w:p>
    <w:p>
      <w:pPr>
        <w:ind w:left="570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4.</w:t>
      </w:r>
      <w:r>
        <w:rPr>
          <w:rFonts w:ascii="SimSun" w:hAnsi="SimSun" w:eastAsia="SimSun" w:cs="SimSun"/>
          <w:sz w:val="31"/>
          <w:szCs w:val="31"/>
          <w:spacing w:val="1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中国国际金融股份有限公司</w:t>
      </w:r>
    </w:p>
    <w:p>
      <w:pPr>
        <w:pStyle w:val="BodyText"/>
        <w:spacing w:line="304" w:lineRule="auto"/>
        <w:rPr/>
      </w:pPr>
      <w:r/>
    </w:p>
    <w:p>
      <w:pPr>
        <w:ind w:left="57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5.</w:t>
      </w:r>
      <w:r>
        <w:rPr>
          <w:rFonts w:ascii="SimSun" w:hAnsi="SimSun" w:eastAsia="SimSun" w:cs="SimSun"/>
          <w:sz w:val="31"/>
          <w:szCs w:val="31"/>
          <w:spacing w:val="1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中国银河证券股份有限公司</w:t>
      </w:r>
    </w:p>
    <w:p>
      <w:pPr>
        <w:pStyle w:val="BodyText"/>
        <w:spacing w:line="292" w:lineRule="auto"/>
        <w:rPr/>
      </w:pPr>
      <w:r/>
    </w:p>
    <w:p>
      <w:pPr>
        <w:ind w:left="57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6.</w:t>
      </w:r>
      <w:r>
        <w:rPr>
          <w:rFonts w:ascii="SimSun" w:hAnsi="SimSun" w:eastAsia="SimSun" w:cs="SimSun"/>
          <w:sz w:val="31"/>
          <w:szCs w:val="31"/>
          <w:spacing w:val="1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中信证券股份有限公司</w:t>
      </w:r>
    </w:p>
    <w:p>
      <w:pPr>
        <w:pStyle w:val="BodyText"/>
        <w:spacing w:line="307" w:lineRule="auto"/>
        <w:rPr/>
      </w:pPr>
      <w:r/>
    </w:p>
    <w:p>
      <w:pPr>
        <w:ind w:left="57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7.</w:t>
      </w:r>
      <w:r>
        <w:rPr>
          <w:rFonts w:ascii="SimSun" w:hAnsi="SimSun" w:eastAsia="SimSun" w:cs="SimSun"/>
          <w:sz w:val="31"/>
          <w:szCs w:val="31"/>
          <w:spacing w:val="1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中银国际证券股份有限公司</w:t>
      </w:r>
    </w:p>
    <w:p>
      <w:pPr>
        <w:pStyle w:val="BodyText"/>
        <w:spacing w:line="304" w:lineRule="auto"/>
        <w:rPr/>
      </w:pPr>
      <w:r/>
    </w:p>
    <w:p>
      <w:pPr>
        <w:ind w:left="57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8.</w:t>
      </w:r>
      <w:r>
        <w:rPr>
          <w:rFonts w:ascii="SimSun" w:hAnsi="SimSun" w:eastAsia="SimSun" w:cs="SimSun"/>
          <w:sz w:val="31"/>
          <w:szCs w:val="31"/>
          <w:spacing w:val="1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长城证券股份有限公司</w:t>
      </w:r>
    </w:p>
    <w:p>
      <w:pPr>
        <w:pStyle w:val="BodyText"/>
        <w:spacing w:line="304" w:lineRule="auto"/>
        <w:rPr/>
      </w:pPr>
      <w:r/>
    </w:p>
    <w:p>
      <w:pPr>
        <w:ind w:left="570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9.</w:t>
      </w:r>
      <w:r>
        <w:rPr>
          <w:rFonts w:ascii="SimSun" w:hAnsi="SimSun" w:eastAsia="SimSun" w:cs="SimSun"/>
          <w:sz w:val="31"/>
          <w:szCs w:val="31"/>
          <w:spacing w:val="1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世纪证券有限责任公司</w:t>
      </w:r>
    </w:p>
    <w:p>
      <w:pPr>
        <w:pStyle w:val="BodyText"/>
        <w:spacing w:line="264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10.</w:t>
      </w:r>
      <w:r>
        <w:rPr>
          <w:rFonts w:ascii="SimSun" w:hAnsi="SimSun" w:eastAsia="SimSun" w:cs="SimSun"/>
          <w:sz w:val="31"/>
          <w:szCs w:val="31"/>
          <w:spacing w:val="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东方证券股份有限公司</w:t>
      </w:r>
    </w:p>
    <w:p>
      <w:pPr>
        <w:spacing w:line="222" w:lineRule="auto"/>
        <w:sectPr>
          <w:footerReference w:type="default" r:id="rId11"/>
          <w:pgSz w:w="11910" w:h="16840"/>
          <w:pgMar w:top="1431" w:right="1786" w:bottom="1734" w:left="1579" w:header="0" w:footer="141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519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11.</w:t>
      </w:r>
      <w:r>
        <w:rPr>
          <w:rFonts w:ascii="SimSun" w:hAnsi="SimSun" w:eastAsia="SimSun" w:cs="SimSun"/>
          <w:sz w:val="31"/>
          <w:szCs w:val="31"/>
          <w:spacing w:val="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东北证券股份有限公司</w:t>
      </w:r>
    </w:p>
    <w:p>
      <w:pPr>
        <w:pStyle w:val="BodyText"/>
        <w:spacing w:line="304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</w:rPr>
        <w:t>12. </w:t>
      </w:r>
      <w:r>
        <w:rPr>
          <w:rFonts w:ascii="FangSong" w:hAnsi="FangSong" w:eastAsia="FangSong" w:cs="FangSong"/>
          <w:sz w:val="31"/>
          <w:szCs w:val="31"/>
          <w:spacing w:val="13"/>
        </w:rPr>
        <w:t>申万宏源证券有限公司</w:t>
      </w:r>
    </w:p>
    <w:p>
      <w:pPr>
        <w:pStyle w:val="BodyText"/>
        <w:spacing w:line="324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13.</w:t>
      </w:r>
      <w:r>
        <w:rPr>
          <w:rFonts w:ascii="SimSun" w:hAnsi="SimSun" w:eastAsia="SimSun" w:cs="SimSun"/>
          <w:sz w:val="31"/>
          <w:szCs w:val="31"/>
          <w:spacing w:val="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申港证券股份有限公司</w:t>
      </w:r>
    </w:p>
    <w:p>
      <w:pPr>
        <w:pStyle w:val="BodyText"/>
        <w:spacing w:line="302" w:lineRule="auto"/>
        <w:rPr/>
      </w:pPr>
      <w:r/>
    </w:p>
    <w:p>
      <w:pPr>
        <w:ind w:left="519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14.</w:t>
      </w:r>
      <w:r>
        <w:rPr>
          <w:rFonts w:ascii="SimSun" w:hAnsi="SimSun" w:eastAsia="SimSun" w:cs="SimSun"/>
          <w:sz w:val="31"/>
          <w:szCs w:val="31"/>
          <w:spacing w:val="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华创证券有限责任公司</w:t>
      </w:r>
    </w:p>
    <w:p>
      <w:pPr>
        <w:pStyle w:val="BodyText"/>
        <w:spacing w:line="314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15.</w:t>
      </w:r>
      <w:r>
        <w:rPr>
          <w:rFonts w:ascii="SimSun" w:hAnsi="SimSun" w:eastAsia="SimSun" w:cs="SimSun"/>
          <w:sz w:val="31"/>
          <w:szCs w:val="31"/>
          <w:spacing w:val="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华泰证券股份有限公司</w:t>
      </w:r>
    </w:p>
    <w:p>
      <w:pPr>
        <w:pStyle w:val="BodyText"/>
        <w:spacing w:line="314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16.</w:t>
      </w:r>
      <w:r>
        <w:rPr>
          <w:rFonts w:ascii="SimSun" w:hAnsi="SimSun" w:eastAsia="SimSun" w:cs="SimSun"/>
          <w:sz w:val="31"/>
          <w:szCs w:val="31"/>
          <w:spacing w:val="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华福证券有限责任公司</w:t>
      </w:r>
    </w:p>
    <w:p>
      <w:pPr>
        <w:pStyle w:val="BodyText"/>
        <w:spacing w:line="326" w:lineRule="auto"/>
        <w:rPr/>
      </w:pPr>
      <w:r/>
    </w:p>
    <w:p>
      <w:pPr>
        <w:ind w:left="519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17.</w:t>
      </w:r>
      <w:r>
        <w:rPr>
          <w:rFonts w:ascii="SimSun" w:hAnsi="SimSun" w:eastAsia="SimSun" w:cs="SimSun"/>
          <w:sz w:val="31"/>
          <w:szCs w:val="31"/>
          <w:spacing w:val="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兴业证券股份有限公司</w:t>
      </w:r>
    </w:p>
    <w:p>
      <w:pPr>
        <w:pStyle w:val="BodyText"/>
        <w:spacing w:line="294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18.</w:t>
      </w:r>
      <w:r>
        <w:rPr>
          <w:rFonts w:ascii="SimSun" w:hAnsi="SimSun" w:eastAsia="SimSun" w:cs="SimSun"/>
          <w:sz w:val="31"/>
          <w:szCs w:val="31"/>
          <w:spacing w:val="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招商证券股份有限公司</w:t>
      </w:r>
    </w:p>
    <w:p>
      <w:pPr>
        <w:pStyle w:val="BodyText"/>
        <w:spacing w:line="304" w:lineRule="auto"/>
        <w:rPr/>
      </w:pPr>
      <w:r/>
    </w:p>
    <w:p>
      <w:pPr>
        <w:ind w:left="519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19.</w:t>
      </w:r>
      <w:r>
        <w:rPr>
          <w:rFonts w:ascii="SimSun" w:hAnsi="SimSun" w:eastAsia="SimSun" w:cs="SimSun"/>
          <w:sz w:val="31"/>
          <w:szCs w:val="31"/>
          <w:spacing w:val="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英大证券有限责任公司</w:t>
      </w:r>
    </w:p>
    <w:p>
      <w:pPr>
        <w:pStyle w:val="BodyText"/>
        <w:spacing w:line="292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20.</w:t>
      </w:r>
      <w:r>
        <w:rPr>
          <w:rFonts w:ascii="SimSun" w:hAnsi="SimSun" w:eastAsia="SimSun" w:cs="SimSun"/>
          <w:sz w:val="31"/>
          <w:szCs w:val="31"/>
          <w:spacing w:val="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国信证券股份有限公司</w:t>
      </w:r>
    </w:p>
    <w:p>
      <w:pPr>
        <w:pStyle w:val="BodyText"/>
        <w:spacing w:line="326" w:lineRule="auto"/>
        <w:rPr/>
      </w:pPr>
      <w:r/>
    </w:p>
    <w:p>
      <w:pPr>
        <w:ind w:left="519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21.</w:t>
      </w:r>
      <w:r>
        <w:rPr>
          <w:rFonts w:ascii="SimSun" w:hAnsi="SimSun" w:eastAsia="SimSun" w:cs="SimSun"/>
          <w:sz w:val="31"/>
          <w:szCs w:val="31"/>
          <w:spacing w:val="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国海证券股份有限公司</w:t>
      </w:r>
    </w:p>
    <w:p>
      <w:pPr>
        <w:pStyle w:val="BodyText"/>
        <w:spacing w:line="304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22. </w:t>
      </w:r>
      <w:r>
        <w:rPr>
          <w:rFonts w:ascii="FangSong" w:hAnsi="FangSong" w:eastAsia="FangSong" w:cs="FangSong"/>
          <w:sz w:val="31"/>
          <w:szCs w:val="31"/>
          <w:spacing w:val="14"/>
        </w:rPr>
        <w:t>国泰海通证券股份有限公司</w:t>
      </w:r>
    </w:p>
    <w:p>
      <w:pPr>
        <w:pStyle w:val="BodyText"/>
        <w:spacing w:line="284" w:lineRule="auto"/>
        <w:rPr/>
      </w:pPr>
      <w:r/>
    </w:p>
    <w:p>
      <w:pPr>
        <w:ind w:left="51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23.</w:t>
      </w:r>
      <w:r>
        <w:rPr>
          <w:rFonts w:ascii="SimSun" w:hAnsi="SimSun" w:eastAsia="SimSun" w:cs="SimSun"/>
          <w:sz w:val="31"/>
          <w:szCs w:val="31"/>
          <w:spacing w:val="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第一创业证券股份有限公司</w:t>
      </w:r>
    </w:p>
    <w:p>
      <w:pPr>
        <w:pStyle w:val="BodyText"/>
        <w:spacing w:line="394" w:lineRule="auto"/>
        <w:rPr/>
      </w:pPr>
      <w:r/>
    </w:p>
    <w:p>
      <w:pPr>
        <w:ind w:firstLine="669"/>
        <w:spacing w:before="101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其中，中国工商银行股份有限公司、中国农业银行股份有限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公司、中国建设银行股份有限公司、中国银行股份有限公司、中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信银行股份有限公司、交通银行股份有限公司、兴业银行股份有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限公司、招商银行股份有限公司、中国国际金融股份有限公司、</w:t>
      </w:r>
    </w:p>
    <w:p>
      <w:pPr>
        <w:spacing w:line="357" w:lineRule="auto"/>
        <w:sectPr>
          <w:footerReference w:type="default" r:id="rId12"/>
          <w:pgSz w:w="11910" w:h="16840"/>
          <w:pgMar w:top="1431" w:right="1195" w:bottom="1834" w:left="1740" w:header="0" w:footer="150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中信证券股份有限公司、东方证券股份有限公司为主承销商。</w:t>
      </w:r>
    </w:p>
    <w:p>
      <w:pPr>
        <w:ind w:left="760"/>
        <w:spacing w:before="25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6"/>
        </w:rPr>
        <w:t>(以上排名不分先后)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499"/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pict>
          <v:shape id="_x0000_s2" style="position:absolute;margin-left:3.5299pt;margin-top:22.9993pt;mso-position-vertical-relative:text;mso-position-horizontal-relative:text;width:444pt;height:0.5pt;z-index:251666432;" filled="false" strokecolor="#000000" strokeweight="0.50pt" coordsize="8880,10" coordorigin="0,0" path="m0,5l4460,5m4460,5l8879,5m0,5l4460,5m4460,5l8879,5e">
            <v:stroke joinstyle="miter" miterlimit="10"/>
          </v:shape>
        </w:pict>
      </w:r>
      <w:r>
        <w:rPr>
          <w:rFonts w:ascii="SimSun" w:hAnsi="SimSun" w:eastAsia="SimSun" w:cs="SimSun"/>
          <w:sz w:val="30"/>
          <w:szCs w:val="30"/>
          <w:b/>
          <w:bCs/>
          <w:spacing w:val="-5"/>
        </w:rPr>
        <w:t>信息公开选项：主动公开</w:t>
      </w:r>
    </w:p>
    <w:p>
      <w:pPr>
        <w:spacing w:before="143" w:line="222" w:lineRule="auto"/>
        <w:jc w:val="right"/>
        <w:rPr>
          <w:rFonts w:ascii="SimSun" w:hAnsi="SimSun" w:eastAsia="SimSun" w:cs="SimSun"/>
          <w:sz w:val="30"/>
          <w:szCs w:val="30"/>
        </w:rPr>
      </w:pPr>
      <w:r>
        <w:pict>
          <v:shape id="_x0000_s4" style="position:absolute;margin-left:3.5299pt;margin-top:28.7875pt;mso-position-vertical-relative:text;mso-position-horizontal-relative:text;width:444pt;height:0.5pt;z-index:251667456;" filled="false" strokecolor="#000000" strokeweight="0.50pt" coordsize="8880,10" coordorigin="0,0" path="m0,5l4460,5m4460,5l8879,5e">
            <v:stroke joinstyle="miter" miterlimit="10"/>
          </v:shape>
        </w:pict>
      </w:r>
      <w:r>
        <w:rPr>
          <w:rFonts w:ascii="SimSun" w:hAnsi="SimSun" w:eastAsia="SimSun" w:cs="SimSun"/>
          <w:sz w:val="30"/>
          <w:szCs w:val="30"/>
          <w:b/>
          <w:bCs/>
          <w:spacing w:val="1"/>
        </w:rPr>
        <w:t>深圳市财政局办公室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                   </w:t>
      </w:r>
      <w:r>
        <w:rPr>
          <w:rFonts w:ascii="SimSun" w:hAnsi="SimSun" w:eastAsia="SimSun" w:cs="SimSun"/>
          <w:sz w:val="30"/>
          <w:szCs w:val="30"/>
        </w:rPr>
        <w:t xml:space="preserve">  2025年9月8日印发</w:t>
      </w:r>
    </w:p>
    <w:sectPr>
      <w:footerReference w:type="default" r:id="rId13"/>
      <w:pgSz w:w="11910" w:h="16840"/>
      <w:pgMar w:top="1431" w:right="1447" w:bottom="1734" w:left="1504" w:header="0" w:footer="14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1"/>
      <w:spacing w:line="233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2"/>
      <w:spacing w:line="233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5"/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2"/>
      </w:rPr>
      <w:t>—12—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7"/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0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5"/>
        <w:w w:val="97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9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image" Target="media/image1.png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2025-12-23T14:56:29Z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2025-12-23T14:56:30</vt:filetime>
  </property>
  <property fmtid="{D5CDD505-2E9C-101B-9397-08002B2CF9AE}" pid="4" name="UsrData">
    <vt:lpwstr>694a3d17f4e5d9001f322701wl</vt:lpwstr>
  </property>
</Properties>
</file>