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98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深财债〔2025〕45号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7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9"/>
        </w:rPr>
        <w:t>深圳市财政局关于发行2025年深圳市政府</w:t>
      </w:r>
    </w:p>
    <w:p>
      <w:pPr>
        <w:ind w:left="926"/>
        <w:spacing w:before="7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6"/>
        </w:rPr>
        <w:t>专项债券(二十五至三十一期)有关</w:t>
      </w:r>
    </w:p>
    <w:p>
      <w:pPr>
        <w:ind w:left="3356"/>
        <w:spacing w:before="3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事宜的通知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right="6"/>
        <w:spacing w:before="104" w:line="33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中央国债登记结算有限责任公司、中国证券登</w:t>
      </w:r>
      <w:r>
        <w:rPr>
          <w:rFonts w:ascii="FangSong" w:hAnsi="FangSong" w:eastAsia="FangSong" w:cs="FangSong"/>
          <w:sz w:val="32"/>
          <w:szCs w:val="32"/>
          <w:spacing w:val="-3"/>
        </w:rPr>
        <w:t>记结算有限责任公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司、上海证券交易所、深圳证券交易所、北京证券交易所，2025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年深圳市政府债券承销团成员：</w:t>
      </w:r>
    </w:p>
    <w:p>
      <w:pPr>
        <w:ind w:firstLine="660"/>
        <w:spacing w:line="33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行2025年深圳市政府专项债券(二十五至三十一期)。现就本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批债券发行有关事宜通知如下：</w:t>
      </w:r>
    </w:p>
    <w:p>
      <w:pPr>
        <w:ind w:left="664"/>
        <w:spacing w:before="1" w:line="220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一、发行安排</w:t>
      </w:r>
    </w:p>
    <w:p>
      <w:pPr>
        <w:ind w:right="16"/>
        <w:spacing w:before="190" w:line="224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"/>
        </w:rPr>
        <w:t>(一)发行场所</w:t>
      </w:r>
      <w:r>
        <w:rPr>
          <w:rFonts w:ascii="FangSong" w:hAnsi="FangSong" w:eastAsia="FangSong" w:cs="FangSong"/>
          <w:sz w:val="32"/>
          <w:szCs w:val="32"/>
          <w:spacing w:val="4"/>
        </w:rPr>
        <w:t>。通过全国银行间债券市场、证券交易所债</w:t>
      </w:r>
    </w:p>
    <w:p>
      <w:pPr>
        <w:spacing w:line="224" w:lineRule="auto"/>
        <w:sectPr>
          <w:footerReference w:type="default" r:id="rId1"/>
          <w:pgSz w:w="11910" w:h="16840"/>
          <w:pgMar w:top="1431" w:right="1360" w:bottom="1716" w:left="1630" w:header="0" w:footer="140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券市场发行。</w:t>
      </w:r>
    </w:p>
    <w:p>
      <w:pPr>
        <w:ind w:right="132" w:firstLine="769"/>
        <w:spacing w:before="15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(二)品种和数量。</w:t>
      </w:r>
      <w:r>
        <w:rPr>
          <w:rFonts w:ascii="KaiTi" w:hAnsi="KaiTi" w:eastAsia="KaiTi" w:cs="KaiTi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本批债券共七期，全部为记账式固定利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率附息债，计划发行面值总额为59.586亿元。</w:t>
      </w:r>
    </w:p>
    <w:p>
      <w:pPr>
        <w:ind w:left="769"/>
        <w:spacing w:before="17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(三)上市安排。</w:t>
      </w:r>
      <w:r>
        <w:rPr>
          <w:rFonts w:ascii="KaiTi" w:hAnsi="KaiTi" w:eastAsia="KaiTi" w:cs="KaiTi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本期债券按照有关规定进行上市交易。</w:t>
      </w:r>
    </w:p>
    <w:p>
      <w:pPr>
        <w:ind w:left="769"/>
        <w:spacing w:before="20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1"/>
        </w:rPr>
        <w:t>。具体发行安排见附件1。</w:t>
      </w:r>
    </w:p>
    <w:p>
      <w:pPr>
        <w:ind w:left="684"/>
        <w:spacing w:before="2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二、竞争性招标</w:t>
      </w:r>
    </w:p>
    <w:p>
      <w:pPr>
        <w:ind w:right="132" w:firstLine="769"/>
        <w:spacing w:before="199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3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率，全场最高中标利率为各期债券的票面利率。</w:t>
      </w:r>
    </w:p>
    <w:p>
      <w:pPr>
        <w:ind w:right="125" w:firstLine="769"/>
        <w:spacing w:before="176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(二)时间安排。2025年6月20日15:00</w:t>
      </w:r>
      <w:r>
        <w:rPr>
          <w:rFonts w:ascii="FangSong" w:hAnsi="FangSong" w:eastAsia="FangSong" w:cs="FangSong"/>
          <w:sz w:val="31"/>
          <w:szCs w:val="31"/>
          <w:spacing w:val="24"/>
        </w:rPr>
        <w:t>—15:40为竞争性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时间。本期债券6月23日开始计息，招标结束至缴款日</w:t>
      </w:r>
      <w:r>
        <w:rPr>
          <w:rFonts w:ascii="FangSong" w:hAnsi="FangSong" w:eastAsia="FangSong" w:cs="FangSong"/>
          <w:sz w:val="31"/>
          <w:szCs w:val="31"/>
          <w:spacing w:val="21"/>
        </w:rPr>
        <w:t>进行分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销。</w:t>
      </w:r>
    </w:p>
    <w:p>
      <w:pPr>
        <w:ind w:right="138" w:firstLine="769"/>
        <w:spacing w:before="184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(三)参与机构。</w:t>
      </w:r>
      <w:r>
        <w:rPr>
          <w:rFonts w:ascii="KaiTi" w:hAnsi="KaiTi" w:eastAsia="KaiTi" w:cs="KaiTi"/>
          <w:sz w:val="31"/>
          <w:szCs w:val="3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>2</w:t>
      </w:r>
      <w:r>
        <w:rPr>
          <w:rFonts w:ascii="FangSong" w:hAnsi="FangSong" w:eastAsia="FangSong" w:cs="FangSong"/>
          <w:sz w:val="31"/>
          <w:szCs w:val="31"/>
          <w:spacing w:val="23"/>
        </w:rPr>
        <w:t>025年深圳市政府债券承销团成员(以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下简称承销团成员，名单见附件)有资格参与本次投标。</w:t>
      </w:r>
    </w:p>
    <w:p>
      <w:pPr>
        <w:ind w:firstLine="769"/>
        <w:spacing w:before="195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8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9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下同)财政部公布的财政部-中国地方政府债券收益率曲线中，2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2"/>
        </w:rPr>
        <w:t>年期地方政府债券收益率算术平均值下浮8%,15年期地方政府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债券收益率算术平均值下浮11%,20年期地方政府债券收益率算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术平均值下浮7%,30年期地方政府债券收益率算术平均值下浮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9"/>
        </w:rPr>
        <w:t>11%,且不低于招标日前1至5个工作日财政部公布的财政</w:t>
      </w:r>
      <w:r>
        <w:rPr>
          <w:rFonts w:ascii="FangSong" w:hAnsi="FangSong" w:eastAsia="FangSong" w:cs="FangSong"/>
          <w:sz w:val="31"/>
          <w:szCs w:val="31"/>
          <w:spacing w:val="28"/>
        </w:rPr>
        <w:t>部一</w:t>
      </w:r>
    </w:p>
    <w:p>
      <w:pPr>
        <w:spacing w:line="324" w:lineRule="auto"/>
        <w:sectPr>
          <w:footerReference w:type="default" r:id="rId2"/>
          <w:pgSz w:w="11910" w:h="16840"/>
          <w:pgMar w:top="1431" w:right="1255" w:bottom="1626" w:left="1650" w:header="0" w:footer="13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right="32"/>
        <w:spacing w:before="100" w:line="335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中国国债收益率曲线中，同年期国债收益率算术平均值；投标标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位区间上限为上述各年期地方政府债券收益率算术平均值上浮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>10%</w:t>
      </w:r>
      <w:r>
        <w:rPr>
          <w:rFonts w:ascii="SimSun" w:hAnsi="SimSun" w:eastAsia="SimSun" w:cs="SimSun"/>
          <w:sz w:val="31"/>
          <w:szCs w:val="31"/>
          <w:spacing w:val="-24"/>
        </w:rPr>
        <w:t>。</w:t>
      </w:r>
    </w:p>
    <w:p>
      <w:pPr>
        <w:ind w:right="37" w:firstLine="809"/>
        <w:spacing w:before="72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2"/>
        </w:rPr>
        <w:t>。深圳市财政局于招标日通过“财政部深圳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证券交易所政府债券发行系统”组织招投标工作。</w:t>
      </w:r>
    </w:p>
    <w:p>
      <w:pPr>
        <w:ind w:left="664"/>
        <w:spacing w:before="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三、发行款缴纳</w:t>
      </w:r>
    </w:p>
    <w:p>
      <w:pPr>
        <w:ind w:right="31" w:firstLine="659"/>
        <w:spacing w:before="216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承销团成员于2025年6月23日15:00前，按照承销额度及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缴款通知书上确定金额，将发行款通过大额实时支付系统缴入深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圳市财政局指定账户。缴款日期以深圳市财政局指定账户收到款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项为准。承销团成员未按时缴付发行款的，按规定将违约金通过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大额实时支付系统缴入深圳市财政局指定账户。</w:t>
      </w:r>
    </w:p>
    <w:p>
      <w:pPr>
        <w:ind w:left="65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深圳市财政局收款账户信息：</w:t>
      </w:r>
    </w:p>
    <w:p>
      <w:pPr>
        <w:ind w:left="659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59"/>
        <w:spacing w:before="19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号：38010000000327</w:t>
      </w:r>
      <w:r>
        <w:rPr>
          <w:rFonts w:ascii="FangSong" w:hAnsi="FangSong" w:eastAsia="FangSong" w:cs="FangSong"/>
          <w:sz w:val="31"/>
          <w:szCs w:val="31"/>
          <w:spacing w:val="6"/>
        </w:rPr>
        <w:t>1001</w:t>
      </w:r>
    </w:p>
    <w:p>
      <w:pPr>
        <w:ind w:left="664"/>
        <w:spacing w:before="19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开户银行：国家金库深圳分库</w:t>
      </w:r>
    </w:p>
    <w:p>
      <w:pPr>
        <w:ind w:left="664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汇入行行号：011584003008</w:t>
      </w:r>
    </w:p>
    <w:p>
      <w:pPr>
        <w:ind w:right="22" w:firstLine="664"/>
        <w:spacing w:before="21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支付报文中附言为必录项，填写时应当注明缴款级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科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码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8"/>
        </w:rPr>
        <w:t>(其中25深圳债32科目代码为105040231、其他专项债科目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7"/>
        </w:rPr>
        <w:t>代码均为105040298)、25深圳债6月20日发行款。如未及时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7"/>
        </w:rPr>
        <w:t>缴款，请按照原承销合同要求缴纳违约金，</w:t>
      </w:r>
      <w:r>
        <w:rPr>
          <w:rFonts w:ascii="FangSong" w:hAnsi="FangSong" w:eastAsia="FangSong" w:cs="FangSong"/>
          <w:sz w:val="31"/>
          <w:szCs w:val="31"/>
          <w:b/>
          <w:bCs/>
          <w:spacing w:val="26"/>
        </w:rPr>
        <w:t>并录入：市级、</w:t>
      </w:r>
    </w:p>
    <w:p>
      <w:pPr>
        <w:ind w:left="4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1039999、25深圳债**逾期违约金。</w:t>
      </w:r>
    </w:p>
    <w:p>
      <w:pPr>
        <w:spacing w:line="221" w:lineRule="auto"/>
        <w:sectPr>
          <w:footerReference w:type="default" r:id="rId3"/>
          <w:pgSz w:w="11910" w:h="16840"/>
          <w:pgMar w:top="1431" w:right="1332" w:bottom="1804" w:left="1650" w:header="0" w:footer="148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614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四、其他</w:t>
      </w:r>
    </w:p>
    <w:p>
      <w:pPr>
        <w:ind w:right="38" w:firstLine="759"/>
        <w:spacing w:before="167" w:line="355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(一)根据《财政部国家税务总局关于地方政府债券利息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8"/>
        </w:rPr>
        <w:t>所得税。</w:t>
      </w:r>
    </w:p>
    <w:p>
      <w:pPr>
        <w:ind w:left="30" w:firstLine="759"/>
        <w:spacing w:before="4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财库〔2023〕77号)规定执行。</w:t>
      </w:r>
    </w:p>
    <w:p>
      <w:pPr>
        <w:pStyle w:val="BodyText"/>
        <w:spacing w:line="453" w:lineRule="auto"/>
        <w:rPr/>
      </w:pPr>
      <w:r/>
    </w:p>
    <w:p>
      <w:pPr>
        <w:ind w:left="1649" w:right="563" w:hanging="950"/>
        <w:spacing w:before="10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附件：1.2025年6月20日深圳市政府债券发行情况表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2.2025年深圳市政府债券承销团成员名单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35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3200370</wp:posOffset>
            </wp:positionH>
            <wp:positionV relativeFrom="paragraph">
              <wp:posOffset>-461214</wp:posOffset>
            </wp:positionV>
            <wp:extent cx="1549401" cy="15176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1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1"/>
        </w:rPr>
        <w:t>深圳市财政局</w:t>
      </w:r>
    </w:p>
    <w:p>
      <w:pPr>
        <w:ind w:left="5079"/>
        <w:spacing w:before="22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6"/>
        </w:rPr>
        <w:t>2025年6月11日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77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(联系人：林靖，联系电话：83938727)</w:t>
      </w:r>
    </w:p>
    <w:p>
      <w:pPr>
        <w:spacing w:line="222" w:lineRule="auto"/>
        <w:sectPr>
          <w:footerReference w:type="default" r:id="rId4"/>
          <w:pgSz w:w="11910" w:h="16840"/>
          <w:pgMar w:top="1431" w:right="1370" w:bottom="1736" w:left="1640" w:header="0" w:footer="142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1"/>
        </w:rPr>
        <w:t>附件1</w:t>
      </w:r>
    </w:p>
    <w:p>
      <w:pPr>
        <w:ind w:left="2631"/>
        <w:spacing w:before="238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3"/>
        </w:rPr>
        <w:t>2025年6月20日深圳市政府债券发行情况表</w:t>
      </w:r>
    </w:p>
    <w:p>
      <w:pPr>
        <w:spacing w:before="140"/>
        <w:rPr/>
      </w:pPr>
      <w:r/>
    </w:p>
    <w:tbl>
      <w:tblPr>
        <w:tblStyle w:val="TableNormal"/>
        <w:tblW w:w="13949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89"/>
        <w:gridCol w:w="969"/>
        <w:gridCol w:w="1009"/>
        <w:gridCol w:w="620"/>
        <w:gridCol w:w="879"/>
        <w:gridCol w:w="830"/>
        <w:gridCol w:w="749"/>
        <w:gridCol w:w="1619"/>
        <w:gridCol w:w="2968"/>
        <w:gridCol w:w="839"/>
        <w:gridCol w:w="839"/>
        <w:gridCol w:w="814"/>
      </w:tblGrid>
      <w:tr>
        <w:trPr>
          <w:trHeight w:val="1283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325"/>
              <w:spacing w:before="181" w:line="199" w:lineRule="auto"/>
              <w:rPr/>
            </w:pPr>
            <w:r>
              <w:rPr/>
              <w:t>序</w:t>
            </w:r>
            <w:r>
              <w:rPr>
                <w:spacing w:val="22"/>
              </w:rPr>
              <w:t xml:space="preserve">  </w:t>
            </w:r>
            <w:r>
              <w:rPr/>
              <w:t>号</w:t>
            </w:r>
          </w:p>
        </w:tc>
        <w:tc>
          <w:tcPr>
            <w:tcW w:w="12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96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2" w:line="219" w:lineRule="auto"/>
              <w:rPr/>
            </w:pPr>
            <w:r>
              <w:rPr>
                <w:spacing w:val="-2"/>
              </w:rPr>
              <w:t>债券简称</w:t>
            </w:r>
          </w:p>
        </w:tc>
        <w:tc>
          <w:tcPr>
            <w:tcW w:w="100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-2"/>
              </w:rPr>
              <w:t>债券代码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12"/>
              <w:spacing w:before="5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251" w:right="128" w:hanging="59"/>
              <w:spacing w:before="142" w:line="337" w:lineRule="auto"/>
              <w:rPr/>
            </w:pPr>
            <w:r>
              <w:rPr>
                <w:spacing w:val="1"/>
              </w:rPr>
              <w:t>(年</w:t>
            </w:r>
            <w:r>
              <w:rPr/>
              <w:t xml:space="preserve"> </w:t>
            </w:r>
            <w:r>
              <w:rPr/>
              <w:t>)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42" w:right="114"/>
              <w:spacing w:before="64" w:line="351" w:lineRule="auto"/>
              <w:jc w:val="both"/>
              <w:rPr/>
            </w:pPr>
            <w:r>
              <w:rPr>
                <w:spacing w:val="-3"/>
              </w:rPr>
              <w:t>计划发</w:t>
            </w:r>
            <w:r>
              <w:rPr/>
              <w:t xml:space="preserve"> </w:t>
            </w:r>
            <w:r>
              <w:rPr>
                <w:spacing w:val="-4"/>
              </w:rPr>
              <w:t>行面值</w:t>
            </w:r>
            <w:r>
              <w:rPr/>
              <w:t xml:space="preserve"> </w:t>
            </w:r>
            <w:r>
              <w:rPr>
                <w:spacing w:val="10"/>
              </w:rPr>
              <w:t>(亿元)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23"/>
              <w:spacing w:before="52" w:line="219" w:lineRule="auto"/>
              <w:rPr/>
            </w:pPr>
            <w:r>
              <w:rPr>
                <w:spacing w:val="-3"/>
              </w:rPr>
              <w:t>竞争性</w:t>
            </w:r>
          </w:p>
          <w:p>
            <w:pPr>
              <w:pStyle w:val="TableText"/>
              <w:ind w:left="123"/>
              <w:spacing w:before="145" w:line="220" w:lineRule="auto"/>
              <w:rPr/>
            </w:pPr>
            <w:r>
              <w:rPr>
                <w:spacing w:val="-2"/>
              </w:rPr>
              <w:t>招标时</w:t>
            </w:r>
          </w:p>
          <w:p>
            <w:pPr>
              <w:pStyle w:val="TableText"/>
              <w:ind w:left="313"/>
              <w:spacing w:before="156" w:line="222" w:lineRule="auto"/>
              <w:rPr/>
            </w:pPr>
            <w:r>
              <w:rPr/>
              <w:t>间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4" w:right="171"/>
              <w:spacing w:before="241" w:line="362" w:lineRule="auto"/>
              <w:rPr/>
            </w:pP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161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296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5"/>
              <w:spacing w:before="62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7"/>
              <w:spacing w:before="253" w:line="220" w:lineRule="auto"/>
              <w:rPr/>
            </w:pPr>
            <w:r>
              <w:rPr>
                <w:spacing w:val="-3"/>
              </w:rPr>
              <w:t>发行手</w:t>
            </w:r>
          </w:p>
          <w:p>
            <w:pPr>
              <w:pStyle w:val="TableText"/>
              <w:ind w:left="127"/>
              <w:spacing w:before="133" w:line="219" w:lineRule="auto"/>
              <w:rPr/>
            </w:pPr>
            <w:r>
              <w:rPr>
                <w:spacing w:val="-3"/>
              </w:rPr>
              <w:t>续费率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28"/>
              <w:spacing w:before="253" w:line="220" w:lineRule="auto"/>
              <w:rPr/>
            </w:pPr>
            <w:r>
              <w:rPr>
                <w:spacing w:val="-3"/>
              </w:rPr>
              <w:t>发行地</w:t>
            </w:r>
          </w:p>
          <w:p>
            <w:pPr>
              <w:pStyle w:val="TableText"/>
              <w:ind w:left="318"/>
              <w:spacing w:before="137" w:line="224" w:lineRule="auto"/>
              <w:rPr/>
            </w:pPr>
            <w:r>
              <w:rPr/>
              <w:t>点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08" w:right="96" w:hanging="189"/>
              <w:spacing w:before="254" w:line="353" w:lineRule="auto"/>
              <w:rPr/>
            </w:pPr>
            <w:r>
              <w:rPr>
                <w:spacing w:val="5"/>
              </w:rPr>
              <w:t>招标系</w:t>
            </w:r>
            <w:r>
              <w:rPr>
                <w:spacing w:val="1"/>
              </w:rPr>
              <w:t xml:space="preserve"> </w:t>
            </w:r>
            <w:r>
              <w:rPr/>
              <w:t>统</w:t>
            </w:r>
          </w:p>
        </w:tc>
      </w:tr>
      <w:tr>
        <w:trPr>
          <w:trHeight w:val="2736" w:hRule="atLeast"/>
        </w:trPr>
        <w:tc>
          <w:tcPr>
            <w:tcW w:w="5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41" w:lineRule="auto"/>
              <w:rPr/>
            </w:pPr>
            <w:r>
              <w:rPr/>
              <w:t>1</w:t>
            </w:r>
          </w:p>
        </w:tc>
        <w:tc>
          <w:tcPr>
            <w:tcW w:w="12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37" w:firstLine="100"/>
              <w:spacing w:before="61" w:line="347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券(二十五期)</w:t>
            </w:r>
          </w:p>
        </w:tc>
        <w:tc>
          <w:tcPr>
            <w:tcW w:w="9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2"/>
              <w:rPr/>
            </w:pPr>
            <w:r>
              <w:rPr>
                <w:spacing w:val="-3"/>
              </w:rPr>
              <w:t>199262</w:t>
            </w:r>
          </w:p>
        </w:tc>
        <w:tc>
          <w:tcPr>
            <w:tcW w:w="100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2"/>
              <w:spacing w:before="152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62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8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1" w:line="239" w:lineRule="auto"/>
              <w:rPr/>
            </w:pPr>
            <w:r>
              <w:rPr>
                <w:spacing w:val="-3"/>
              </w:rPr>
              <w:t>3.55</w:t>
            </w:r>
          </w:p>
        </w:tc>
        <w:tc>
          <w:tcPr>
            <w:tcW w:w="8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02" w:hanging="139"/>
              <w:spacing w:before="62" w:line="332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1"/>
              <w:spacing w:before="62" w:line="346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02" w:firstLine="50"/>
              <w:spacing w:before="62" w:line="351" w:lineRule="auto"/>
              <w:rPr/>
            </w:pPr>
            <w:r>
              <w:rPr>
                <w:spacing w:val="-1"/>
              </w:rPr>
              <w:t>存续期内6月23</w:t>
            </w:r>
            <w:r>
              <w:rPr/>
              <w:t xml:space="preserve"> 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9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77"/>
              <w:spacing w:before="89" w:line="219" w:lineRule="auto"/>
              <w:rPr/>
            </w:pPr>
            <w:r>
              <w:rPr>
                <w:spacing w:val="-3"/>
              </w:rPr>
              <w:t>5年期</w:t>
            </w:r>
          </w:p>
          <w:p>
            <w:pPr>
              <w:pStyle w:val="TableText"/>
              <w:ind w:left="227"/>
              <w:spacing w:before="124" w:line="219" w:lineRule="auto"/>
              <w:rPr/>
            </w:pPr>
            <w:r>
              <w:rPr>
                <w:spacing w:val="13"/>
              </w:rPr>
              <w:t>(含)</w:t>
            </w:r>
          </w:p>
          <w:p>
            <w:pPr>
              <w:pStyle w:val="TableText"/>
              <w:ind w:left="127"/>
              <w:spacing w:before="155" w:line="221" w:lineRule="auto"/>
              <w:rPr/>
            </w:pPr>
            <w:r>
              <w:rPr>
                <w:spacing w:val="3"/>
              </w:rPr>
              <w:t>以上为</w:t>
            </w:r>
          </w:p>
          <w:p>
            <w:pPr>
              <w:pStyle w:val="TableText"/>
              <w:ind w:left="77"/>
              <w:spacing w:before="118" w:line="216" w:lineRule="auto"/>
              <w:rPr/>
            </w:pPr>
            <w:r>
              <w:rPr>
                <w:spacing w:val="-2"/>
              </w:rPr>
              <w:t>0.6‰,5</w:t>
            </w:r>
          </w:p>
          <w:p>
            <w:pPr>
              <w:pStyle w:val="TableText"/>
              <w:ind w:left="127"/>
              <w:spacing w:before="131" w:line="219" w:lineRule="auto"/>
              <w:rPr/>
            </w:pPr>
            <w:r>
              <w:rPr>
                <w:spacing w:val="4"/>
              </w:rPr>
              <w:t>年以下</w:t>
            </w:r>
          </w:p>
          <w:p>
            <w:pPr>
              <w:pStyle w:val="TableText"/>
              <w:ind w:left="317"/>
              <w:spacing w:before="145" w:line="221" w:lineRule="auto"/>
              <w:rPr/>
            </w:pPr>
            <w:r>
              <w:rPr/>
              <w:t>为</w:t>
            </w:r>
          </w:p>
          <w:p>
            <w:pPr>
              <w:pStyle w:val="TableText"/>
              <w:ind w:left="127"/>
              <w:spacing w:before="166" w:line="234" w:lineRule="auto"/>
              <w:rPr/>
            </w:pPr>
            <w:r>
              <w:rPr>
                <w:spacing w:val="-5"/>
              </w:rPr>
              <w:t>0.3‰。</w:t>
            </w:r>
          </w:p>
        </w:tc>
        <w:tc>
          <w:tcPr>
            <w:tcW w:w="8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2" w:line="221" w:lineRule="auto"/>
              <w:rPr/>
            </w:pPr>
            <w:r>
              <w:rPr>
                <w:spacing w:val="-2"/>
              </w:rPr>
              <w:t>深圳证</w:t>
            </w:r>
          </w:p>
          <w:p>
            <w:pPr>
              <w:pStyle w:val="TableText"/>
              <w:ind w:left="128"/>
              <w:spacing w:before="122" w:line="220" w:lineRule="auto"/>
              <w:rPr/>
            </w:pPr>
            <w:r>
              <w:rPr>
                <w:spacing w:val="6"/>
              </w:rPr>
              <w:t>券交易</w:t>
            </w:r>
          </w:p>
          <w:p>
            <w:pPr>
              <w:pStyle w:val="TableText"/>
              <w:ind w:left="318"/>
              <w:spacing w:before="123" w:line="220" w:lineRule="auto"/>
              <w:rPr/>
            </w:pPr>
            <w:r>
              <w:rPr/>
              <w:t>所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119"/>
              <w:spacing w:before="279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119"/>
              <w:spacing w:before="125" w:line="221" w:lineRule="auto"/>
              <w:rPr/>
            </w:pPr>
            <w:r>
              <w:rPr>
                <w:spacing w:val="-2"/>
              </w:rPr>
              <w:t>深圳证</w:t>
            </w:r>
          </w:p>
          <w:p>
            <w:pPr>
              <w:pStyle w:val="TableText"/>
              <w:ind w:left="119"/>
              <w:spacing w:before="122" w:line="220" w:lineRule="auto"/>
              <w:rPr/>
            </w:pPr>
            <w:r>
              <w:rPr>
                <w:spacing w:val="6"/>
              </w:rPr>
              <w:t>券交易</w:t>
            </w:r>
          </w:p>
          <w:p>
            <w:pPr>
              <w:pStyle w:val="TableText"/>
              <w:ind w:left="119" w:right="121"/>
              <w:spacing w:before="152" w:line="333" w:lineRule="auto"/>
              <w:rPr/>
            </w:pPr>
            <w:r>
              <w:rPr>
                <w:spacing w:val="-3"/>
              </w:rPr>
              <w:t>所政府</w:t>
            </w:r>
            <w:r>
              <w:rPr/>
              <w:t xml:space="preserve"> </w:t>
            </w:r>
            <w:r>
              <w:rPr>
                <w:spacing w:val="-3"/>
              </w:rPr>
              <w:t>债券发</w:t>
            </w:r>
          </w:p>
          <w:p>
            <w:pPr>
              <w:pStyle w:val="TableText"/>
              <w:ind w:left="119"/>
              <w:spacing w:before="25" w:line="220" w:lineRule="auto"/>
              <w:rPr/>
            </w:pPr>
            <w:r>
              <w:rPr>
                <w:spacing w:val="-3"/>
              </w:rPr>
              <w:t>行系统</w:t>
            </w:r>
          </w:p>
        </w:tc>
      </w:tr>
      <w:tr>
        <w:trPr>
          <w:trHeight w:val="1637" w:hRule="atLeast"/>
        </w:trPr>
        <w:tc>
          <w:tcPr>
            <w:tcW w:w="52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9" w:right="37" w:firstLine="100"/>
              <w:spacing w:before="272" w:line="352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券(二十六期)</w:t>
            </w:r>
          </w:p>
        </w:tc>
        <w:tc>
          <w:tcPr>
            <w:tcW w:w="96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1"/>
              <w:rPr/>
            </w:pPr>
            <w:r>
              <w:rPr>
                <w:spacing w:val="-3"/>
              </w:rPr>
              <w:t>199263</w:t>
            </w:r>
          </w:p>
        </w:tc>
        <w:tc>
          <w:tcPr>
            <w:tcW w:w="100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2"/>
              <w:spacing w:before="163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62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2" w:line="239" w:lineRule="auto"/>
              <w:rPr/>
            </w:pPr>
            <w:r>
              <w:rPr>
                <w:spacing w:val="-2"/>
              </w:rPr>
              <w:t>9.11</w:t>
            </w:r>
          </w:p>
        </w:tc>
        <w:tc>
          <w:tcPr>
            <w:tcW w:w="83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102" w:hanging="139"/>
              <w:spacing w:before="61" w:line="352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4"/>
              <w:spacing w:before="93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2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73" w:right="174" w:hanging="99"/>
              <w:spacing w:before="142" w:line="344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235" w:right="192" w:hanging="50"/>
              <w:spacing w:before="283" w:line="336" w:lineRule="auto"/>
              <w:jc w:val="both"/>
              <w:rPr/>
            </w:pPr>
            <w:r>
              <w:rPr>
                <w:spacing w:val="-1"/>
              </w:rPr>
              <w:t>存续期内6月23</w:t>
            </w:r>
            <w:r>
              <w:rPr/>
              <w:t xml:space="preserve"> </w:t>
            </w:r>
            <w:r>
              <w:rPr>
                <w:spacing w:val="4"/>
              </w:rPr>
              <w:t>日和12月23日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(节假日顺延)</w:t>
            </w:r>
          </w:p>
        </w:tc>
        <w:tc>
          <w:tcPr>
            <w:tcW w:w="296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903" w:hRule="atLeast"/>
        </w:trPr>
        <w:tc>
          <w:tcPr>
            <w:tcW w:w="525" w:type="dxa"/>
            <w:vAlign w:val="top"/>
          </w:tcPr>
          <w:p>
            <w:pPr>
              <w:pStyle w:val="TableText"/>
              <w:ind w:left="204"/>
              <w:spacing w:before="295"/>
              <w:rPr/>
            </w:pPr>
            <w:r>
              <w:rPr/>
              <w:t>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9" w:right="68" w:firstLine="100"/>
              <w:spacing w:before="197" w:line="338" w:lineRule="auto"/>
              <w:rPr/>
            </w:pPr>
            <w:r>
              <w:rPr>
                <w:spacing w:val="1"/>
              </w:rPr>
              <w:t>2025年深圳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</w:p>
        </w:tc>
        <w:tc>
          <w:tcPr>
            <w:tcW w:w="9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2"/>
              <w:rPr/>
            </w:pPr>
            <w:r>
              <w:rPr>
                <w:spacing w:val="-3"/>
              </w:rPr>
              <w:t>199264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2"/>
              <w:spacing w:before="96" w:line="219" w:lineRule="auto"/>
              <w:rPr/>
            </w:pPr>
            <w:r>
              <w:rPr>
                <w:spacing w:val="2"/>
              </w:rPr>
              <w:t>25深圳债</w:t>
            </w:r>
          </w:p>
          <w:p>
            <w:pPr>
              <w:pStyle w:val="TableText"/>
              <w:ind w:left="402"/>
              <w:spacing w:before="152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203"/>
              <w:spacing w:before="29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2" w:line="239" w:lineRule="auto"/>
              <w:rPr/>
            </w:pPr>
            <w:r>
              <w:rPr>
                <w:spacing w:val="-2"/>
              </w:rPr>
              <w:t>27.41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12" w:right="102" w:hanging="139"/>
              <w:spacing w:before="125" w:line="352" w:lineRule="auto"/>
              <w:rPr/>
            </w:pPr>
            <w:r>
              <w:rPr>
                <w:spacing w:val="-4"/>
              </w:rPr>
              <w:t>15:00-1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5:40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4"/>
              <w:spacing w:before="166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74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235" w:right="195" w:hanging="50"/>
              <w:spacing w:before="176" w:line="348" w:lineRule="auto"/>
              <w:rPr/>
            </w:pPr>
            <w:r>
              <w:rPr>
                <w:spacing w:val="-1"/>
              </w:rPr>
              <w:t>存续期内6月23</w:t>
            </w:r>
            <w:r>
              <w:rPr/>
              <w:t xml:space="preserve"> </w:t>
            </w:r>
            <w:r>
              <w:rPr>
                <w:spacing w:val="4"/>
              </w:rPr>
              <w:t>日和12月23日</w:t>
            </w:r>
          </w:p>
        </w:tc>
        <w:tc>
          <w:tcPr>
            <w:tcW w:w="2968" w:type="dxa"/>
            <w:vAlign w:val="top"/>
          </w:tcPr>
          <w:p>
            <w:pPr>
              <w:pStyle w:val="TableText"/>
              <w:ind w:left="625"/>
              <w:spacing w:before="265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7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8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209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10"/>
          <w:pgMar w:top="1012" w:right="1352" w:bottom="1144" w:left="1454" w:header="0" w:footer="820" w:gutter="0"/>
        </w:sectPr>
        <w:rPr/>
      </w:pPr>
    </w:p>
    <w:p>
      <w:pPr>
        <w:spacing w:before="49"/>
        <w:rPr/>
      </w:pPr>
      <w:r/>
    </w:p>
    <w:p>
      <w:pPr>
        <w:spacing w:before="49"/>
        <w:rPr/>
      </w:pPr>
      <w:r/>
    </w:p>
    <w:p>
      <w:pPr>
        <w:spacing w:before="49"/>
        <w:rPr/>
      </w:pPr>
      <w:r/>
    </w:p>
    <w:tbl>
      <w:tblPr>
        <w:tblStyle w:val="TableNormal"/>
        <w:tblW w:w="13820" w:type="dxa"/>
        <w:tblInd w:w="6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79"/>
        <w:gridCol w:w="949"/>
        <w:gridCol w:w="1019"/>
        <w:gridCol w:w="620"/>
        <w:gridCol w:w="869"/>
        <w:gridCol w:w="840"/>
        <w:gridCol w:w="729"/>
        <w:gridCol w:w="1609"/>
        <w:gridCol w:w="2928"/>
        <w:gridCol w:w="830"/>
        <w:gridCol w:w="809"/>
        <w:gridCol w:w="814"/>
      </w:tblGrid>
      <w:tr>
        <w:trPr>
          <w:trHeight w:val="934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3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券(二十七期)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ind w:left="254" w:right="153" w:hanging="100"/>
              <w:spacing w:before="61" w:line="34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95"/>
              <w:spacing w:before="7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6" w:hRule="atLeast"/>
        </w:trPr>
        <w:tc>
          <w:tcPr>
            <w:tcW w:w="5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firstLine="99"/>
              <w:spacing w:before="65" w:line="3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券(二十八期)</w:t>
            </w:r>
          </w:p>
        </w:tc>
        <w:tc>
          <w:tcPr>
            <w:tcW w:w="9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199265</w:t>
            </w:r>
          </w:p>
        </w:tc>
        <w:tc>
          <w:tcPr>
            <w:tcW w:w="101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 w:right="95" w:hanging="300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6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7.338</w:t>
            </w:r>
          </w:p>
        </w:tc>
        <w:tc>
          <w:tcPr>
            <w:tcW w:w="8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88" w:hanging="150"/>
              <w:spacing w:before="65" w:line="3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54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54" w:right="153" w:hanging="100"/>
              <w:spacing w:before="142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60" w:hanging="50"/>
              <w:spacing w:before="65" w:line="3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存续期内6月23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日和12月23日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28" w:type="dxa"/>
            <w:vAlign w:val="top"/>
          </w:tcPr>
          <w:p>
            <w:pPr>
              <w:pStyle w:val="TableText"/>
              <w:ind w:left="6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第1次：2036年6月23日(第22</w:t>
            </w:r>
          </w:p>
          <w:p>
            <w:pPr>
              <w:pStyle w:val="TableText"/>
              <w:ind w:left="56"/>
              <w:spacing w:before="12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1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75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第2次：2037年6月23日(第24</w:t>
            </w:r>
          </w:p>
          <w:p>
            <w:pPr>
              <w:pStyle w:val="TableText"/>
              <w:ind w:left="56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86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第3次：2038年6月23日(第26</w:t>
            </w:r>
          </w:p>
          <w:p>
            <w:pPr>
              <w:pStyle w:val="TableText"/>
              <w:ind w:left="56"/>
              <w:spacing w:before="14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75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第4次：2039年6月23日(第28</w:t>
            </w:r>
          </w:p>
          <w:p>
            <w:pPr>
              <w:pStyle w:val="TableText"/>
              <w:ind w:left="5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86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第5次：2040年6月23日(第30</w:t>
            </w:r>
          </w:p>
          <w:p>
            <w:pPr>
              <w:pStyle w:val="TableText"/>
              <w:ind w:left="56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7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第6次：2041年6月23日(第32</w:t>
            </w:r>
          </w:p>
          <w:p>
            <w:pPr>
              <w:pStyle w:val="TableText"/>
              <w:ind w:left="5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5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额比例10%。</w:t>
            </w:r>
          </w:p>
          <w:p>
            <w:pPr>
              <w:pStyle w:val="TableText"/>
              <w:ind w:left="7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第7次：2042年6月23日(第34</w:t>
            </w:r>
          </w:p>
          <w:p>
            <w:pPr>
              <w:pStyle w:val="TableText"/>
              <w:ind w:left="56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</w:tc>
        <w:tc>
          <w:tcPr>
            <w:tcW w:w="8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7010" w:h="12150"/>
          <w:pgMar w:top="1032" w:right="1634" w:bottom="1196" w:left="1480" w:header="0" w:footer="884" w:gutter="0"/>
        </w:sectPr>
        <w:rPr/>
      </w:pPr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13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1299"/>
        <w:gridCol w:w="979"/>
        <w:gridCol w:w="1009"/>
        <w:gridCol w:w="610"/>
        <w:gridCol w:w="869"/>
        <w:gridCol w:w="839"/>
        <w:gridCol w:w="750"/>
        <w:gridCol w:w="1619"/>
        <w:gridCol w:w="2978"/>
        <w:gridCol w:w="830"/>
        <w:gridCol w:w="839"/>
        <w:gridCol w:w="814"/>
      </w:tblGrid>
      <w:tr>
        <w:trPr>
          <w:trHeight w:val="382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8" w:type="dxa"/>
            <w:vAlign w:val="top"/>
          </w:tcPr>
          <w:p>
            <w:pPr>
              <w:pStyle w:val="TableText"/>
              <w:ind w:left="986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6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第8次：2043年6月23日(第36</w:t>
            </w:r>
          </w:p>
          <w:p>
            <w:pPr>
              <w:pStyle w:val="TableText"/>
              <w:ind w:left="85"/>
              <w:spacing w:before="12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6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第9次：2044年6月23日(第38</w:t>
            </w:r>
          </w:p>
          <w:p>
            <w:pPr>
              <w:pStyle w:val="TableText"/>
              <w:ind w:left="8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86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第10次：2045年6月23日(第40</w:t>
            </w:r>
          </w:p>
          <w:p>
            <w:pPr>
              <w:pStyle w:val="TableText"/>
              <w:ind w:left="8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67" w:hRule="atLeast"/>
        </w:trPr>
        <w:tc>
          <w:tcPr>
            <w:tcW w:w="51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5" w:firstLine="100"/>
              <w:spacing w:before="65" w:line="3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券(二十九期)</w:t>
            </w:r>
          </w:p>
        </w:tc>
        <w:tc>
          <w:tcPr>
            <w:tcW w:w="9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199266</w:t>
            </w:r>
          </w:p>
        </w:tc>
        <w:tc>
          <w:tcPr>
            <w:tcW w:w="10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 w:right="95" w:hanging="299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61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6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7.92</w:t>
            </w:r>
          </w:p>
        </w:tc>
        <w:tc>
          <w:tcPr>
            <w:tcW w:w="8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87" w:hanging="150"/>
              <w:spacing w:before="65" w:line="35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5"/>
              <w:spacing w:before="14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5" w:right="163" w:hanging="100"/>
              <w:spacing w:before="120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 w:right="160" w:hanging="50"/>
              <w:spacing w:before="65" w:line="32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存续期内6月23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日和12月23日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78" w:type="dxa"/>
            <w:vAlign w:val="top"/>
          </w:tcPr>
          <w:p>
            <w:pPr>
              <w:pStyle w:val="TableText"/>
              <w:ind w:left="106"/>
              <w:spacing w:before="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第1次：2044年6月23日(第38</w:t>
            </w:r>
          </w:p>
          <w:p>
            <w:pPr>
              <w:pStyle w:val="TableText"/>
              <w:ind w:left="85"/>
              <w:spacing w:before="11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额比例50%。</w:t>
            </w:r>
          </w:p>
          <w:p>
            <w:pPr>
              <w:pStyle w:val="TableText"/>
              <w:ind w:left="106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第2次：2045年6月23日(第40</w:t>
            </w:r>
          </w:p>
          <w:p>
            <w:pPr>
              <w:pStyle w:val="TableText"/>
              <w:ind w:left="8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86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额比例50%。</w:t>
            </w:r>
          </w:p>
        </w:tc>
        <w:tc>
          <w:tcPr>
            <w:tcW w:w="83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633" w:hRule="atLeast"/>
        </w:trPr>
        <w:tc>
          <w:tcPr>
            <w:tcW w:w="51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40" w:right="37" w:firstLine="100"/>
              <w:spacing w:before="277" w:line="33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券(三十期)</w:t>
            </w:r>
          </w:p>
        </w:tc>
        <w:tc>
          <w:tcPr>
            <w:tcW w:w="9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199267</w:t>
            </w:r>
          </w:p>
        </w:tc>
        <w:tc>
          <w:tcPr>
            <w:tcW w:w="100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 w:right="95" w:hanging="299"/>
              <w:spacing w:before="65" w:line="3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61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6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1.309</w:t>
            </w:r>
          </w:p>
        </w:tc>
        <w:tc>
          <w:tcPr>
            <w:tcW w:w="83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87" w:hanging="150"/>
              <w:spacing w:before="65" w:line="34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65"/>
              <w:spacing w:before="7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5"/>
              <w:spacing w:before="14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5" w:right="163" w:hanging="100"/>
              <w:spacing w:before="121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205" w:right="160" w:hanging="50"/>
              <w:spacing w:before="286" w:line="3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存续期内6月23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日和12月23日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7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83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1349" w:bottom="996" w:left="1494" w:header="0" w:footer="671" w:gutter="0"/>
        </w:sectPr>
        <w:rPr/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13840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279"/>
        <w:gridCol w:w="969"/>
        <w:gridCol w:w="999"/>
        <w:gridCol w:w="640"/>
        <w:gridCol w:w="859"/>
        <w:gridCol w:w="830"/>
        <w:gridCol w:w="750"/>
        <w:gridCol w:w="1589"/>
        <w:gridCol w:w="2938"/>
        <w:gridCol w:w="829"/>
        <w:gridCol w:w="829"/>
        <w:gridCol w:w="804"/>
      </w:tblGrid>
      <w:tr>
        <w:trPr>
          <w:trHeight w:val="8280" w:hRule="atLeast"/>
        </w:trPr>
        <w:tc>
          <w:tcPr>
            <w:tcW w:w="5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5" w:firstLine="170"/>
              <w:spacing w:before="65" w:line="33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市政府专项债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券(三十一期)</w:t>
            </w:r>
          </w:p>
        </w:tc>
        <w:tc>
          <w:tcPr>
            <w:tcW w:w="96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199268</w:t>
            </w:r>
          </w:p>
        </w:tc>
        <w:tc>
          <w:tcPr>
            <w:tcW w:w="9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 w:right="86" w:hanging="300"/>
              <w:spacing w:before="65" w:line="3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25深圳债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64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2.949</w:t>
            </w:r>
          </w:p>
        </w:tc>
        <w:tc>
          <w:tcPr>
            <w:tcW w:w="8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 w:right="88" w:hanging="150"/>
              <w:spacing w:before="65" w:line="3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15:00-1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5:40</w:t>
            </w:r>
          </w:p>
        </w:tc>
        <w:tc>
          <w:tcPr>
            <w:tcW w:w="7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64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263" w:right="164" w:hanging="99"/>
              <w:spacing w:before="141" w:line="3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5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51" w:hanging="50"/>
              <w:spacing w:before="65" w:line="33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存续期内6月23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日和12月23日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(节假日顺延)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5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第1次：2046年6月23日(第42</w:t>
            </w:r>
          </w:p>
          <w:p>
            <w:pPr>
              <w:pStyle w:val="TableText"/>
              <w:ind w:left="65"/>
              <w:spacing w:before="10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第2次：2047年6月23日(第44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85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第3次：2048年6月23日(第46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0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第4次：2049年6月23日(第48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第5次：2050年6月23日(第50</w:t>
            </w:r>
          </w:p>
          <w:p>
            <w:pPr>
              <w:pStyle w:val="TableText"/>
              <w:ind w:left="65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第6次：2051年6月23日(第52</w:t>
            </w:r>
          </w:p>
          <w:p>
            <w:pPr>
              <w:pStyle w:val="TableText"/>
              <w:ind w:left="65"/>
              <w:spacing w:before="13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9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第7次：2052年6月23日(第54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65"/>
              <w:spacing w:before="12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85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第8次：2053年6月23日(第56</w:t>
            </w:r>
          </w:p>
          <w:p>
            <w:pPr>
              <w:pStyle w:val="TableText"/>
              <w:ind w:left="65"/>
              <w:spacing w:before="1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</w:tc>
        <w:tc>
          <w:tcPr>
            <w:tcW w:w="8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0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960" w:h="12090"/>
          <w:pgMar w:top="1027" w:right="1574" w:bottom="1116" w:left="1489" w:header="0" w:footer="804" w:gutter="0"/>
        </w:sectPr>
        <w:rPr/>
      </w:pPr>
    </w:p>
    <w:p>
      <w:pPr>
        <w:spacing w:before="30"/>
        <w:rPr/>
      </w:pPr>
      <w:r/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139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5"/>
        <w:gridCol w:w="1309"/>
        <w:gridCol w:w="959"/>
        <w:gridCol w:w="1019"/>
        <w:gridCol w:w="630"/>
        <w:gridCol w:w="859"/>
        <w:gridCol w:w="839"/>
        <w:gridCol w:w="760"/>
        <w:gridCol w:w="1589"/>
        <w:gridCol w:w="2998"/>
        <w:gridCol w:w="839"/>
        <w:gridCol w:w="829"/>
        <w:gridCol w:w="814"/>
      </w:tblGrid>
      <w:tr>
        <w:trPr>
          <w:trHeight w:val="2740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98" w:type="dxa"/>
            <w:vAlign w:val="top"/>
          </w:tcPr>
          <w:p>
            <w:pPr>
              <w:pStyle w:val="TableText"/>
              <w:ind w:left="995"/>
              <w:spacing w:before="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26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第9次：2054年6月23日(第58</w:t>
            </w:r>
          </w:p>
          <w:p>
            <w:pPr>
              <w:pStyle w:val="TableText"/>
              <w:ind w:left="96"/>
              <w:spacing w:before="10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95"/>
              <w:spacing w:before="14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  <w:p>
            <w:pPr>
              <w:pStyle w:val="TableText"/>
              <w:ind w:left="196"/>
              <w:spacing w:before="1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第10次：2055年6月23日(第60</w:t>
            </w:r>
          </w:p>
          <w:p>
            <w:pPr>
              <w:pStyle w:val="TableText"/>
              <w:ind w:left="96"/>
              <w:spacing w:before="11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计息期),本次偿还金额占发行总</w:t>
            </w:r>
          </w:p>
          <w:p>
            <w:pPr>
              <w:pStyle w:val="TableText"/>
              <w:ind w:left="995"/>
              <w:spacing w:before="13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额比例10%。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40" w:h="11910"/>
          <w:pgMar w:top="1012" w:right="1379" w:bottom="1016" w:left="1485" w:header="0" w:footer="691" w:gutter="0"/>
        </w:sectPr>
        <w:rPr/>
      </w:pP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附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7"/>
        </w:rPr>
        <w:t>2</w:t>
      </w:r>
    </w:p>
    <w:p>
      <w:pPr>
        <w:pStyle w:val="BodyText"/>
        <w:spacing w:line="474" w:lineRule="auto"/>
        <w:rPr/>
      </w:pPr>
      <w:r/>
    </w:p>
    <w:p>
      <w:pPr>
        <w:ind w:left="3591" w:right="1140" w:hanging="2060"/>
        <w:spacing w:before="143" w:line="23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2025年深圳市政府债券承销团</w:t>
      </w:r>
      <w:r>
        <w:rPr>
          <w:rFonts w:ascii="SimSun" w:hAnsi="SimSun" w:eastAsia="SimSun" w:cs="SimSun"/>
          <w:sz w:val="44"/>
          <w:szCs w:val="44"/>
          <w:spacing w:val="11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850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一、银行机构</w:t>
      </w:r>
    </w:p>
    <w:p>
      <w:pPr>
        <w:ind w:left="935"/>
        <w:spacing w:before="32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上海浦东发展银行股份有限公司</w:t>
      </w:r>
    </w:p>
    <w:p>
      <w:pPr>
        <w:pStyle w:val="BodyText"/>
        <w:spacing w:line="316" w:lineRule="auto"/>
        <w:rPr/>
      </w:pPr>
      <w:r/>
    </w:p>
    <w:p>
      <w:pPr>
        <w:ind w:left="95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上海银行股份有限公司</w:t>
      </w:r>
    </w:p>
    <w:p>
      <w:pPr>
        <w:pStyle w:val="BodyText"/>
        <w:spacing w:line="296" w:lineRule="auto"/>
        <w:rPr/>
      </w:pPr>
      <w:r/>
    </w:p>
    <w:p>
      <w:pPr>
        <w:ind w:left="96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3.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广东华兴银行股份有限公司</w:t>
      </w:r>
    </w:p>
    <w:p>
      <w:pPr>
        <w:pStyle w:val="BodyText"/>
        <w:spacing w:line="306" w:lineRule="auto"/>
        <w:rPr/>
      </w:pPr>
      <w:r/>
    </w:p>
    <w:p>
      <w:pPr>
        <w:ind w:left="96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4.</w:t>
      </w:r>
      <w:r>
        <w:rPr>
          <w:rFonts w:ascii="SimSun" w:hAnsi="SimSun" w:eastAsia="SimSun" w:cs="SimSu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广发银行股份有限公司</w:t>
      </w:r>
    </w:p>
    <w:p>
      <w:pPr>
        <w:pStyle w:val="BodyText"/>
        <w:spacing w:line="306" w:lineRule="auto"/>
        <w:rPr/>
      </w:pPr>
      <w:r/>
    </w:p>
    <w:p>
      <w:pPr>
        <w:ind w:left="96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5.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广州银行股份有限公司</w:t>
      </w:r>
    </w:p>
    <w:p>
      <w:pPr>
        <w:pStyle w:val="BodyText"/>
        <w:spacing w:line="296" w:lineRule="auto"/>
        <w:rPr/>
      </w:pPr>
      <w:r/>
    </w:p>
    <w:p>
      <w:pPr>
        <w:ind w:left="96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天津银行股份有限公司</w:t>
      </w:r>
    </w:p>
    <w:p>
      <w:pPr>
        <w:pStyle w:val="BodyText"/>
        <w:spacing w:line="306" w:lineRule="auto"/>
        <w:rPr/>
      </w:pPr>
      <w:r/>
    </w:p>
    <w:p>
      <w:pPr>
        <w:ind w:left="96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7. </w:t>
      </w:r>
      <w:r>
        <w:rPr>
          <w:rFonts w:ascii="FangSong" w:hAnsi="FangSong" w:eastAsia="FangSong" w:cs="FangSong"/>
          <w:sz w:val="31"/>
          <w:szCs w:val="31"/>
          <w:spacing w:val="11"/>
        </w:rPr>
        <w:t>中国工商银行股份有限公司</w:t>
      </w:r>
    </w:p>
    <w:p>
      <w:pPr>
        <w:pStyle w:val="BodyText"/>
        <w:spacing w:line="286" w:lineRule="auto"/>
        <w:rPr/>
      </w:pPr>
      <w:r/>
    </w:p>
    <w:p>
      <w:pPr>
        <w:ind w:left="965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8.  </w:t>
      </w:r>
      <w:r>
        <w:rPr>
          <w:rFonts w:ascii="FangSong" w:hAnsi="FangSong" w:eastAsia="FangSong" w:cs="FangSong"/>
          <w:sz w:val="31"/>
          <w:szCs w:val="31"/>
          <w:spacing w:val="3"/>
        </w:rPr>
        <w:t>中国民生银行股份有限公司</w:t>
      </w:r>
    </w:p>
    <w:p>
      <w:pPr>
        <w:pStyle w:val="BodyText"/>
        <w:spacing w:line="336" w:lineRule="auto"/>
        <w:rPr/>
      </w:pPr>
      <w:r/>
    </w:p>
    <w:p>
      <w:pPr>
        <w:ind w:left="96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9. </w:t>
      </w:r>
      <w:r>
        <w:rPr>
          <w:rFonts w:ascii="FangSong" w:hAnsi="FangSong" w:eastAsia="FangSong" w:cs="FangSong"/>
          <w:sz w:val="31"/>
          <w:szCs w:val="31"/>
          <w:spacing w:val="11"/>
        </w:rPr>
        <w:t>中国光大银行股份有限公司</w:t>
      </w:r>
    </w:p>
    <w:p>
      <w:pPr>
        <w:pStyle w:val="BodyText"/>
        <w:spacing w:line="286" w:lineRule="auto"/>
        <w:rPr/>
      </w:pPr>
      <w:r/>
    </w:p>
    <w:p>
      <w:pPr>
        <w:ind w:left="845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中国农业银行股份有限公司</w:t>
      </w:r>
    </w:p>
    <w:p>
      <w:pPr>
        <w:pStyle w:val="BodyText"/>
        <w:spacing w:line="296" w:lineRule="auto"/>
        <w:rPr/>
      </w:pPr>
      <w:r/>
    </w:p>
    <w:p>
      <w:pPr>
        <w:ind w:left="84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中国建设银行股份有限公司</w:t>
      </w:r>
    </w:p>
    <w:p>
      <w:pPr>
        <w:spacing w:line="221" w:lineRule="auto"/>
        <w:sectPr>
          <w:footerReference w:type="default" r:id="rId11"/>
          <w:pgSz w:w="11910" w:h="16840"/>
          <w:pgMar w:top="1431" w:right="1786" w:bottom="1693" w:left="1604" w:header="0" w:footer="135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12. </w:t>
      </w:r>
      <w:r>
        <w:rPr>
          <w:rFonts w:ascii="FangSong" w:hAnsi="FangSong" w:eastAsia="FangSong" w:cs="FangSong"/>
          <w:sz w:val="32"/>
          <w:szCs w:val="32"/>
          <w:spacing w:val="3"/>
        </w:rPr>
        <w:t>中国银行股份有限公司</w:t>
      </w:r>
    </w:p>
    <w:p>
      <w:pPr>
        <w:pStyle w:val="BodyText"/>
        <w:spacing w:line="29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13.</w:t>
      </w:r>
      <w:r>
        <w:rPr>
          <w:rFonts w:ascii="SimSun" w:hAnsi="SimSun" w:eastAsia="SimSun" w:cs="SimSun"/>
          <w:sz w:val="32"/>
          <w:szCs w:val="32"/>
          <w:spacing w:val="10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中信银行股份有限公司</w:t>
      </w:r>
    </w:p>
    <w:p>
      <w:pPr>
        <w:pStyle w:val="BodyText"/>
        <w:spacing w:line="30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14.</w:t>
      </w:r>
      <w:r>
        <w:rPr>
          <w:rFonts w:ascii="SimSun" w:hAnsi="SimSun" w:eastAsia="SimSun" w:cs="SimSun"/>
          <w:sz w:val="32"/>
          <w:szCs w:val="32"/>
          <w:spacing w:val="10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中原银行股份有限公司</w:t>
      </w:r>
    </w:p>
    <w:p>
      <w:pPr>
        <w:pStyle w:val="BodyText"/>
        <w:spacing w:line="29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15.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平安银行股份有限公司</w:t>
      </w:r>
    </w:p>
    <w:p>
      <w:pPr>
        <w:pStyle w:val="BodyText"/>
        <w:spacing w:line="30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16.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北京银行股份有限公司</w:t>
      </w:r>
    </w:p>
    <w:p>
      <w:pPr>
        <w:pStyle w:val="BodyText"/>
        <w:spacing w:line="310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17.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pStyle w:val="BodyText"/>
        <w:spacing w:line="29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18.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华夏银行股份有限公司</w:t>
      </w:r>
    </w:p>
    <w:p>
      <w:pPr>
        <w:pStyle w:val="BodyText"/>
        <w:spacing w:line="29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19.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交通银行股份有限公司</w:t>
      </w:r>
    </w:p>
    <w:p>
      <w:pPr>
        <w:pStyle w:val="BodyText"/>
        <w:spacing w:line="29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20.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江苏银行股份有限公司</w:t>
      </w:r>
    </w:p>
    <w:p>
      <w:pPr>
        <w:pStyle w:val="BodyText"/>
        <w:spacing w:line="30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21.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兴业银行股份有限公司</w:t>
      </w:r>
    </w:p>
    <w:p>
      <w:pPr>
        <w:pStyle w:val="BodyText"/>
        <w:spacing w:line="271" w:lineRule="auto"/>
        <w:rPr/>
      </w:pPr>
      <w:r/>
    </w:p>
    <w:p>
      <w:pPr>
        <w:ind w:left="6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22.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招商银行股份有限公司</w:t>
      </w:r>
    </w:p>
    <w:p>
      <w:pPr>
        <w:pStyle w:val="BodyText"/>
        <w:spacing w:line="310" w:lineRule="auto"/>
        <w:rPr/>
      </w:pPr>
      <w:r/>
    </w:p>
    <w:p>
      <w:pPr>
        <w:ind w:left="64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23.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86" w:lineRule="auto"/>
        <w:rPr/>
      </w:pPr>
      <w:r/>
    </w:p>
    <w:p>
      <w:pPr>
        <w:ind w:left="648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"/>
        </w:rPr>
        <w:t>24.</w:t>
      </w:r>
      <w:r>
        <w:rPr>
          <w:rFonts w:ascii="SimSun" w:hAnsi="SimSun" w:eastAsia="SimSun" w:cs="SimSun"/>
          <w:sz w:val="32"/>
          <w:szCs w:val="32"/>
          <w:spacing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1"/>
        </w:rPr>
        <w:t>国家开发银行</w:t>
      </w:r>
    </w:p>
    <w:p>
      <w:pPr>
        <w:pStyle w:val="BodyText"/>
        <w:spacing w:line="291" w:lineRule="auto"/>
        <w:rPr/>
      </w:pPr>
      <w:r/>
    </w:p>
    <w:p>
      <w:pPr>
        <w:ind w:left="64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7"/>
        </w:rPr>
        <w:t>25.</w:t>
      </w:r>
      <w:r>
        <w:rPr>
          <w:rFonts w:ascii="SimSun" w:hAnsi="SimSun" w:eastAsia="SimSun" w:cs="SimSun"/>
          <w:sz w:val="32"/>
          <w:szCs w:val="32"/>
          <w:spacing w:val="7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17"/>
        </w:rPr>
        <w:t>星展银行(中国)有限公司</w:t>
      </w:r>
    </w:p>
    <w:p>
      <w:pPr>
        <w:pStyle w:val="BodyText"/>
        <w:spacing w:line="291" w:lineRule="auto"/>
        <w:rPr/>
      </w:pPr>
      <w:r/>
    </w:p>
    <w:p>
      <w:pPr>
        <w:ind w:left="64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26.</w:t>
      </w:r>
      <w:r>
        <w:rPr>
          <w:rFonts w:ascii="SimSun" w:hAnsi="SimSun" w:eastAsia="SimSun" w:cs="SimSun"/>
          <w:sz w:val="32"/>
          <w:szCs w:val="32"/>
          <w:spacing w:val="8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恒丰银行股份有限公司</w:t>
      </w:r>
    </w:p>
    <w:p>
      <w:pPr>
        <w:pStyle w:val="BodyText"/>
        <w:spacing w:line="281" w:lineRule="auto"/>
        <w:rPr/>
      </w:pPr>
      <w:r/>
    </w:p>
    <w:p>
      <w:pPr>
        <w:ind w:left="64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2"/>
        </w:rPr>
        <w:t>27.</w:t>
      </w:r>
      <w:r>
        <w:rPr>
          <w:rFonts w:ascii="SimSun" w:hAnsi="SimSun" w:eastAsia="SimSun" w:cs="SimSun"/>
          <w:sz w:val="32"/>
          <w:szCs w:val="32"/>
          <w:spacing w:val="8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2"/>
        </w:rPr>
        <w:t>珠海华润银行股份有限公司</w:t>
      </w:r>
    </w:p>
    <w:p>
      <w:pPr>
        <w:spacing w:line="221" w:lineRule="auto"/>
        <w:sectPr>
          <w:footerReference w:type="default" r:id="rId12"/>
          <w:pgSz w:w="11910" w:h="16840"/>
          <w:pgMar w:top="1431" w:right="1237" w:bottom="1794" w:left="1786" w:header="0" w:footer="146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58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28.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浙商银行股份有限公司</w:t>
      </w:r>
    </w:p>
    <w:p>
      <w:pPr>
        <w:pStyle w:val="BodyText"/>
        <w:spacing w:line="296" w:lineRule="auto"/>
        <w:rPr/>
      </w:pPr>
      <w:r/>
    </w:p>
    <w:p>
      <w:pPr>
        <w:ind w:left="58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29.</w:t>
      </w:r>
      <w:r>
        <w:rPr>
          <w:rFonts w:ascii="SimSun" w:hAnsi="SimSun" w:eastAsia="SimSun" w:cs="SimSun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pStyle w:val="BodyText"/>
        <w:spacing w:line="296" w:lineRule="auto"/>
        <w:rPr/>
      </w:pPr>
      <w:r/>
    </w:p>
    <w:p>
      <w:pPr>
        <w:ind w:left="58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30.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渤海银行股份有限公司</w:t>
      </w:r>
    </w:p>
    <w:p>
      <w:pPr>
        <w:pStyle w:val="BodyText"/>
        <w:spacing w:line="306" w:lineRule="auto"/>
        <w:rPr/>
      </w:pPr>
      <w:r/>
    </w:p>
    <w:p>
      <w:pPr>
        <w:ind w:left="58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31.</w:t>
      </w:r>
      <w:r>
        <w:rPr>
          <w:rFonts w:ascii="SimSun" w:hAnsi="SimSun" w:eastAsia="SimSun" w:cs="SimSun"/>
          <w:sz w:val="31"/>
          <w:szCs w:val="31"/>
          <w:spacing w:val="1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富邦华一银行有限公司</w:t>
      </w:r>
    </w:p>
    <w:p>
      <w:pPr>
        <w:pStyle w:val="BodyText"/>
        <w:spacing w:line="306" w:lineRule="auto"/>
        <w:rPr/>
      </w:pPr>
      <w:r/>
    </w:p>
    <w:p>
      <w:pPr>
        <w:ind w:left="586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32.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徽商银行股份有限公司</w:t>
      </w:r>
    </w:p>
    <w:p>
      <w:pPr>
        <w:pStyle w:val="BodyText"/>
        <w:spacing w:line="346" w:lineRule="auto"/>
        <w:rPr/>
      </w:pPr>
      <w:r/>
    </w:p>
    <w:p>
      <w:pPr>
        <w:ind w:left="730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pStyle w:val="BodyText"/>
        <w:spacing w:line="267" w:lineRule="auto"/>
        <w:rPr/>
      </w:pPr>
      <w:r/>
    </w:p>
    <w:p>
      <w:pPr>
        <w:ind w:left="586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1.</w:t>
      </w:r>
      <w:r>
        <w:rPr>
          <w:rFonts w:ascii="SimSun" w:hAnsi="SimSun" w:eastAsia="SimSun" w:cs="SimSun"/>
          <w:sz w:val="31"/>
          <w:szCs w:val="31"/>
          <w:spacing w:val="1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万和证券股份有限公司</w:t>
      </w:r>
    </w:p>
    <w:p>
      <w:pPr>
        <w:pStyle w:val="BodyText"/>
        <w:spacing w:line="284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万联证券股份有限公司</w:t>
      </w:r>
    </w:p>
    <w:p>
      <w:pPr>
        <w:pStyle w:val="BodyText"/>
        <w:spacing w:line="314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五矿证券有限公司</w:t>
      </w:r>
    </w:p>
    <w:p>
      <w:pPr>
        <w:pStyle w:val="BodyText"/>
        <w:spacing w:line="294" w:lineRule="auto"/>
        <w:rPr/>
      </w:pPr>
      <w:r/>
    </w:p>
    <w:p>
      <w:pPr>
        <w:ind w:left="586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SimSun" w:hAnsi="SimSun" w:eastAsia="SimSun" w:cs="SimSun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中国国际金融股份有限公司</w:t>
      </w:r>
    </w:p>
    <w:p>
      <w:pPr>
        <w:pStyle w:val="BodyText"/>
        <w:spacing w:line="294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5.</w:t>
      </w:r>
      <w:r>
        <w:rPr>
          <w:rFonts w:ascii="SimSun" w:hAnsi="SimSun" w:eastAsia="SimSun" w:cs="SimSun"/>
          <w:sz w:val="31"/>
          <w:szCs w:val="31"/>
          <w:spacing w:val="9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中国银河证券股份有限公司</w:t>
      </w:r>
    </w:p>
    <w:p>
      <w:pPr>
        <w:pStyle w:val="BodyText"/>
        <w:spacing w:line="312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中信证券股份有限公司</w:t>
      </w:r>
    </w:p>
    <w:p>
      <w:pPr>
        <w:pStyle w:val="BodyText"/>
        <w:spacing w:line="297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7.</w:t>
      </w:r>
      <w:r>
        <w:rPr>
          <w:rFonts w:ascii="SimSun" w:hAnsi="SimSun" w:eastAsia="SimSun" w:cs="SimSun"/>
          <w:sz w:val="31"/>
          <w:szCs w:val="31"/>
          <w:spacing w:val="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中银国际证券股份有限公司</w:t>
      </w:r>
    </w:p>
    <w:p>
      <w:pPr>
        <w:pStyle w:val="BodyText"/>
        <w:spacing w:line="294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8.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长城证券股份有限公司</w:t>
      </w:r>
    </w:p>
    <w:p>
      <w:pPr>
        <w:pStyle w:val="BodyText"/>
        <w:spacing w:line="324" w:lineRule="auto"/>
        <w:rPr/>
      </w:pPr>
      <w:r/>
    </w:p>
    <w:p>
      <w:pPr>
        <w:ind w:left="586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9.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世纪证券有限责任公司</w:t>
      </w:r>
    </w:p>
    <w:p>
      <w:pPr>
        <w:pStyle w:val="BodyText"/>
        <w:spacing w:line="264" w:lineRule="auto"/>
        <w:rPr/>
      </w:pPr>
      <w:r/>
    </w:p>
    <w:p>
      <w:pPr>
        <w:ind w:left="516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spacing w:line="222" w:lineRule="auto"/>
        <w:sectPr>
          <w:footerReference w:type="default" r:id="rId13"/>
          <w:pgSz w:w="11910" w:h="16840"/>
          <w:pgMar w:top="1431" w:right="1786" w:bottom="1714" w:left="1713" w:header="0" w:footer="138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东北证券股份有限公司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12.</w:t>
      </w:r>
      <w:r>
        <w:rPr>
          <w:rFonts w:ascii="SimSun" w:hAnsi="SimSun" w:eastAsia="SimSun" w:cs="SimSun"/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申万宏源证券有限公司</w:t>
      </w:r>
    </w:p>
    <w:p>
      <w:pPr>
        <w:pStyle w:val="BodyText"/>
        <w:spacing w:line="32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13.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申港证券股份有限公司</w:t>
      </w:r>
    </w:p>
    <w:p>
      <w:pPr>
        <w:pStyle w:val="BodyText"/>
        <w:spacing w:line="312" w:lineRule="auto"/>
        <w:rPr/>
      </w:pPr>
      <w:r/>
    </w:p>
    <w:p>
      <w:pPr>
        <w:ind w:left="51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29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32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307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302" w:lineRule="auto"/>
        <w:rPr/>
      </w:pPr>
      <w:r/>
    </w:p>
    <w:p>
      <w:pPr>
        <w:ind w:left="51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20. </w:t>
      </w:r>
      <w:r>
        <w:rPr>
          <w:rFonts w:ascii="FangSong" w:hAnsi="FangSong" w:eastAsia="FangSong" w:cs="FangSong"/>
          <w:sz w:val="31"/>
          <w:szCs w:val="31"/>
          <w:spacing w:val="15"/>
        </w:rPr>
        <w:t>国信证券股份有限公司</w:t>
      </w:r>
    </w:p>
    <w:p>
      <w:pPr>
        <w:pStyle w:val="BodyText"/>
        <w:spacing w:line="316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21.</w:t>
      </w:r>
      <w:r>
        <w:rPr>
          <w:rFonts w:ascii="SimSun" w:hAnsi="SimSun" w:eastAsia="SimSun" w:cs="SimSun"/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国海证券股份有限公司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22.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国泰海通证券股份有限公司</w:t>
      </w:r>
    </w:p>
    <w:p>
      <w:pPr>
        <w:pStyle w:val="BodyText"/>
        <w:spacing w:line="31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23.</w:t>
      </w:r>
      <w:r>
        <w:rPr>
          <w:rFonts w:ascii="SimSun" w:hAnsi="SimSun" w:eastAsia="SimSun" w:cs="SimSun"/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第一创业证券股份有限公司</w:t>
      </w:r>
    </w:p>
    <w:p>
      <w:pPr>
        <w:pStyle w:val="BodyText"/>
        <w:spacing w:line="358" w:lineRule="auto"/>
        <w:rPr/>
      </w:pPr>
      <w:r/>
    </w:p>
    <w:p>
      <w:pPr>
        <w:ind w:firstLine="649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公司、中国建设银行股份有限公司、中国银行股份有限</w:t>
      </w:r>
      <w:r>
        <w:rPr>
          <w:rFonts w:ascii="FangSong" w:hAnsi="FangSong" w:eastAsia="FangSong" w:cs="FangSong"/>
          <w:sz w:val="31"/>
          <w:szCs w:val="31"/>
          <w:spacing w:val="8"/>
        </w:rPr>
        <w:t>公司、中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信银行股份有限公司、交通银行股份有限公司、兴业银行股</w:t>
      </w:r>
      <w:r>
        <w:rPr>
          <w:rFonts w:ascii="FangSong" w:hAnsi="FangSong" w:eastAsia="FangSong" w:cs="FangSong"/>
          <w:sz w:val="31"/>
          <w:szCs w:val="31"/>
          <w:spacing w:val="8"/>
        </w:rPr>
        <w:t>份有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限公司、招商银行股份有限公司、中国国际金融股份有</w:t>
      </w:r>
      <w:r>
        <w:rPr>
          <w:rFonts w:ascii="FangSong" w:hAnsi="FangSong" w:eastAsia="FangSong" w:cs="FangSong"/>
          <w:sz w:val="31"/>
          <w:szCs w:val="31"/>
          <w:spacing w:val="10"/>
        </w:rPr>
        <w:t>限公司、</w:t>
      </w:r>
    </w:p>
    <w:p>
      <w:pPr>
        <w:spacing w:line="346" w:lineRule="auto"/>
        <w:sectPr>
          <w:footerReference w:type="default" r:id="rId14"/>
          <w:pgSz w:w="11910" w:h="16840"/>
          <w:pgMar w:top="1431" w:right="1254" w:bottom="1754" w:left="1670" w:header="0" w:footer="143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中信证券股份有限公司、东方证券股份有限公司为主承销商。</w:t>
      </w:r>
    </w:p>
    <w:p>
      <w:pPr>
        <w:pStyle w:val="BodyText"/>
        <w:spacing w:line="342" w:lineRule="auto"/>
        <w:rPr/>
      </w:pPr>
      <w:r/>
    </w:p>
    <w:p>
      <w:pPr>
        <w:ind w:left="749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4"/>
        </w:rPr>
        <w:t>(以上排名不分先后)</w:t>
      </w: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832" w:type="dxa"/>
        <w:tblInd w:w="10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644"/>
        <w:gridCol w:w="4188"/>
      </w:tblGrid>
      <w:tr>
        <w:trPr>
          <w:trHeight w:val="420" w:hRule="atLeast"/>
        </w:trPr>
        <w:tc>
          <w:tcPr>
            <w:tcW w:w="8832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4"/>
              <w:spacing w:before="62" w:line="21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5"/>
              </w:rPr>
              <w:t>信息公开选项：主动公开</w:t>
            </w:r>
          </w:p>
        </w:tc>
      </w:tr>
      <w:tr>
        <w:trPr>
          <w:trHeight w:val="569" w:hRule="atLeast"/>
        </w:trPr>
        <w:tc>
          <w:tcPr>
            <w:tcW w:w="46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4"/>
              <w:spacing w:before="143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5"/>
              </w:rPr>
              <w:t>深圳市财政局办公室</w:t>
            </w:r>
          </w:p>
        </w:tc>
        <w:tc>
          <w:tcPr>
            <w:tcW w:w="41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47" w:line="219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2025年6月12日印发</w:t>
            </w:r>
          </w:p>
        </w:tc>
      </w:tr>
    </w:tbl>
    <w:p>
      <w:pPr>
        <w:pStyle w:val="BodyText"/>
        <w:rPr/>
      </w:pPr>
      <w:r/>
    </w:p>
    <w:sectPr>
      <w:footerReference w:type="default" r:id="rId15"/>
      <w:pgSz w:w="11910" w:h="16840"/>
      <w:pgMar w:top="1431" w:right="1347" w:bottom="1704" w:left="1624" w:header="0" w:footer="13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7"/>
      <w:spacing w:line="23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5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7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2025-12-23T14:20:08Z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2025-12-23T14:20:09</vt:filetime>
  </property>
  <property fmtid="{D5CDD505-2E9C-101B-9397-08002B2CF9AE}" pid="4" name="UsrData">
    <vt:lpwstr>694a34940025b3001f712b78wl</vt:lpwstr>
  </property>
</Properties>
</file>