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2950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深财库〔2024〕42号</w:t>
      </w:r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ind w:left="356"/>
        <w:spacing w:before="143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7"/>
        </w:rPr>
        <w:t>深圳市财政局关于发行2024年深圳市政府</w:t>
      </w:r>
    </w:p>
    <w:p>
      <w:pPr>
        <w:ind w:left="1566"/>
        <w:spacing w:before="31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22"/>
        </w:rPr>
        <w:t>专项债券(十四至二十二期)</w:t>
      </w:r>
    </w:p>
    <w:p>
      <w:pPr>
        <w:ind w:left="2886"/>
        <w:spacing w:before="29" w:line="220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2"/>
        </w:rPr>
        <w:t>有关事宜的通知</w:t>
      </w:r>
    </w:p>
    <w:p>
      <w:pPr>
        <w:pStyle w:val="BodyText"/>
        <w:spacing w:line="309" w:lineRule="auto"/>
        <w:rPr/>
      </w:pPr>
      <w:r/>
    </w:p>
    <w:p>
      <w:pPr>
        <w:pStyle w:val="BodyText"/>
        <w:spacing w:line="309" w:lineRule="auto"/>
        <w:rPr/>
      </w:pPr>
      <w:r/>
    </w:p>
    <w:p>
      <w:pPr>
        <w:ind w:right="65"/>
        <w:spacing w:before="100" w:line="33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中央国债登记结算有限责任公司、中国证券登记结算有限责任公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司、上海证券交易所、深圳证券交易所、北京证</w:t>
      </w:r>
      <w:r>
        <w:rPr>
          <w:rFonts w:ascii="FangSong" w:hAnsi="FangSong" w:eastAsia="FangSong" w:cs="FangSong"/>
          <w:sz w:val="31"/>
          <w:szCs w:val="31"/>
          <w:spacing w:val="4"/>
        </w:rPr>
        <w:t>券交易所，2024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—2026年深圳市政府债券承销团成员：</w:t>
      </w:r>
    </w:p>
    <w:p>
      <w:pPr>
        <w:ind w:right="32" w:firstLine="640"/>
        <w:spacing w:line="337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为支持我市经济和社会发展，根据财政部有关规定，决定发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行2024年深圳市政府专项债券(十四至二十二期)。现就本批债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券发行有关事宜通知如下：</w:t>
      </w:r>
    </w:p>
    <w:p>
      <w:pPr>
        <w:ind w:left="634"/>
        <w:spacing w:before="1" w:line="220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5"/>
        </w:rPr>
        <w:t>一、发行安排</w:t>
      </w:r>
    </w:p>
    <w:p>
      <w:pPr>
        <w:ind w:right="57" w:firstLine="760"/>
        <w:spacing w:before="222" w:line="33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0"/>
        </w:rPr>
        <w:t>(</w:t>
      </w:r>
      <w:r>
        <w:rPr>
          <w:rFonts w:ascii="KaiTi" w:hAnsi="KaiTi" w:eastAsia="KaiTi" w:cs="KaiTi"/>
          <w:sz w:val="31"/>
          <w:szCs w:val="31"/>
          <w:spacing w:val="-87"/>
        </w:rPr>
        <w:t xml:space="preserve"> </w:t>
      </w:r>
      <w:r>
        <w:rPr>
          <w:rFonts w:ascii="KaiTi" w:hAnsi="KaiTi" w:eastAsia="KaiTi" w:cs="KaiTi"/>
          <w:sz w:val="31"/>
          <w:szCs w:val="31"/>
          <w:spacing w:val="10"/>
        </w:rPr>
        <w:t>一)发行场所</w:t>
      </w:r>
      <w:r>
        <w:rPr>
          <w:rFonts w:ascii="FangSong" w:hAnsi="FangSong" w:eastAsia="FangSong" w:cs="FangSong"/>
          <w:sz w:val="31"/>
          <w:szCs w:val="31"/>
          <w:spacing w:val="10"/>
        </w:rPr>
        <w:t>。通过全国银行间债券市场、证券交易所债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券市场发行。</w:t>
      </w:r>
    </w:p>
    <w:p>
      <w:pPr>
        <w:spacing w:line="331" w:lineRule="auto"/>
        <w:sectPr>
          <w:footerReference w:type="default" r:id="rId1"/>
          <w:pgSz w:w="11900" w:h="16830"/>
          <w:pgMar w:top="1430" w:right="1402" w:bottom="1484" w:left="1599" w:header="0" w:footer="115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right="155" w:firstLine="750"/>
        <w:spacing w:before="101" w:line="28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1"/>
        </w:rPr>
        <w:t>(二)品种和数量</w:t>
      </w:r>
      <w:r>
        <w:rPr>
          <w:rFonts w:ascii="FangSong" w:hAnsi="FangSong" w:eastAsia="FangSong" w:cs="FangSong"/>
          <w:sz w:val="31"/>
          <w:szCs w:val="31"/>
          <w:spacing w:val="11"/>
        </w:rPr>
        <w:t>。本批债券共七期，全部为记账式固定利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率附息债，计划发行面值总额为93.096亿</w:t>
      </w:r>
      <w:r>
        <w:rPr>
          <w:rFonts w:ascii="FangSong" w:hAnsi="FangSong" w:eastAsia="FangSong" w:cs="FangSong"/>
          <w:sz w:val="31"/>
          <w:szCs w:val="31"/>
          <w:spacing w:val="11"/>
        </w:rPr>
        <w:t>元。</w:t>
      </w:r>
    </w:p>
    <w:p>
      <w:pPr>
        <w:ind w:left="779"/>
        <w:spacing w:before="156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(三)上市安排。</w:t>
      </w:r>
      <w:r>
        <w:rPr>
          <w:rFonts w:ascii="KaiTi" w:hAnsi="KaiTi" w:eastAsia="KaiTi" w:cs="KaiTi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本期债券按照有关规定进行上市交易。</w:t>
      </w:r>
    </w:p>
    <w:p>
      <w:pPr>
        <w:ind w:left="779"/>
        <w:spacing w:before="218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0"/>
        </w:rPr>
        <w:t>(四)其他事项</w:t>
      </w:r>
      <w:r>
        <w:rPr>
          <w:rFonts w:ascii="FangSong" w:hAnsi="FangSong" w:eastAsia="FangSong" w:cs="FangSong"/>
          <w:sz w:val="31"/>
          <w:szCs w:val="31"/>
          <w:spacing w:val="20"/>
        </w:rPr>
        <w:t>。具体发行安排见附件1。</w:t>
      </w:r>
    </w:p>
    <w:p>
      <w:pPr>
        <w:ind w:left="644"/>
        <w:spacing w:before="191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7"/>
        </w:rPr>
        <w:t>二</w:t>
      </w:r>
      <w:r>
        <w:rPr>
          <w:rFonts w:ascii="SimHei" w:hAnsi="SimHei" w:eastAsia="SimHei" w:cs="SimHei"/>
          <w:sz w:val="31"/>
          <w:szCs w:val="31"/>
          <w:spacing w:val="-80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7"/>
        </w:rPr>
        <w:t>、竞争性招标</w:t>
      </w:r>
    </w:p>
    <w:p>
      <w:pPr>
        <w:ind w:left="29" w:right="82" w:firstLine="750"/>
        <w:spacing w:before="179" w:line="28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3"/>
        </w:rPr>
        <w:t>(一)招标方式。采</w:t>
      </w:r>
      <w:r>
        <w:rPr>
          <w:rFonts w:ascii="FangSong" w:hAnsi="FangSong" w:eastAsia="FangSong" w:cs="FangSong"/>
          <w:sz w:val="31"/>
          <w:szCs w:val="31"/>
          <w:spacing w:val="13"/>
        </w:rPr>
        <w:t>用单一价格荷兰式招标方式，标的为利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率，全场最高中标利率为各期债券的票面利率。</w:t>
      </w:r>
    </w:p>
    <w:p>
      <w:pPr>
        <w:ind w:left="29" w:right="75" w:firstLine="750"/>
        <w:spacing w:before="176" w:line="31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4"/>
        </w:rPr>
        <w:t>(二)时间安排。2024年6月26日16:00—16</w:t>
      </w:r>
      <w:r>
        <w:rPr>
          <w:rFonts w:ascii="FangSong" w:hAnsi="FangSong" w:eastAsia="FangSong" w:cs="FangSong"/>
          <w:sz w:val="31"/>
          <w:szCs w:val="31"/>
          <w:spacing w:val="23"/>
        </w:rPr>
        <w:t>:40为竞争性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招标时间，竞争性招标结束后15分钟内为填制债权托管申请书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时间。本期债券6月27日开始计息，招标结束至缴款日进行分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销。</w:t>
      </w:r>
    </w:p>
    <w:p>
      <w:pPr>
        <w:ind w:left="29" w:right="53" w:firstLine="750"/>
        <w:spacing w:before="154" w:line="30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5"/>
        </w:rPr>
        <w:t>(三)参与机构。</w:t>
      </w:r>
      <w:r>
        <w:rPr>
          <w:rFonts w:ascii="KaiTi" w:hAnsi="KaiTi" w:eastAsia="KaiTi" w:cs="KaiTi"/>
          <w:sz w:val="31"/>
          <w:szCs w:val="31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5"/>
        </w:rPr>
        <w:t>2</w:t>
      </w:r>
      <w:r>
        <w:rPr>
          <w:rFonts w:ascii="FangSong" w:hAnsi="FangSong" w:eastAsia="FangSong" w:cs="FangSong"/>
          <w:sz w:val="31"/>
          <w:szCs w:val="31"/>
          <w:spacing w:val="15"/>
        </w:rPr>
        <w:t>024—2026年深圳市政府债券承销团成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3"/>
        </w:rPr>
        <w:t>员(以下简称“承销团成员”,名单见附件)有资格参与本次投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标。</w:t>
      </w:r>
    </w:p>
    <w:p>
      <w:pPr>
        <w:ind w:left="89" w:firstLine="760"/>
        <w:spacing w:before="151" w:line="3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7"/>
        </w:rPr>
        <w:t>(四)标位限定</w:t>
      </w:r>
      <w:r>
        <w:rPr>
          <w:rFonts w:ascii="FangSong" w:hAnsi="FangSong" w:eastAsia="FangSong" w:cs="FangSong"/>
          <w:sz w:val="31"/>
          <w:szCs w:val="31"/>
          <w:spacing w:val="17"/>
        </w:rPr>
        <w:t>。投标标位变动幅度为0.01%。每一承销团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成员最高、最低标位差为30个标位，无需连续投标。投标标位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4"/>
        </w:rPr>
        <w:t>区间下限为招标日前1至5个工作日(含第1和第5个工作日，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下同)财政部公布的财政部-中国地方政府债券收益率曲线中，7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年期地方政府债券收益率算术平均值下浮3%(四舍五入计算到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3"/>
        </w:rPr>
        <w:t>0.01%,下同),10年期地方政府债券收益率算术平均值下浮6%</w:t>
      </w:r>
    </w:p>
    <w:p>
      <w:pPr>
        <w:ind w:left="89" w:right="47" w:firstLine="169"/>
        <w:spacing w:before="198" w:line="34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4"/>
        </w:rPr>
        <w:t>(四舍五入计算到0.01%,下同),15年期地方政府债券</w:t>
      </w:r>
      <w:r>
        <w:rPr>
          <w:rFonts w:ascii="FangSong" w:hAnsi="FangSong" w:eastAsia="FangSong" w:cs="FangSong"/>
          <w:sz w:val="31"/>
          <w:szCs w:val="31"/>
          <w:spacing w:val="23"/>
        </w:rPr>
        <w:t>收益率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算术平均值下浮6%,20年期地方政府债券收益率算术平均值下</w:t>
      </w:r>
    </w:p>
    <w:p>
      <w:pPr>
        <w:spacing w:line="340" w:lineRule="auto"/>
        <w:sectPr>
          <w:footerReference w:type="default" r:id="rId2"/>
          <w:pgSz w:w="11920" w:h="16830"/>
          <w:pgMar w:top="1430" w:right="1354" w:bottom="1354" w:left="1610" w:header="0" w:footer="102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351" w:lineRule="auto"/>
        <w:rPr/>
      </w:pPr>
      <w:r/>
    </w:p>
    <w:p>
      <w:pPr>
        <w:pStyle w:val="BodyText"/>
        <w:spacing w:line="351" w:lineRule="auto"/>
        <w:rPr/>
      </w:pPr>
      <w:r/>
    </w:p>
    <w:p>
      <w:pPr>
        <w:ind w:right="65"/>
        <w:spacing w:before="101" w:line="339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1"/>
        </w:rPr>
        <w:t>浮5%,30年期地方政府债券收益率算术平均值下浮2%且不低于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招标日前1至5个工作日财政部公布的财政部-中国国债收益率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曲线中，同年期国债收益率算术平均值；投标标位区间上限为上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述各年期地方政府债券收益率算术平均值上浮10%。</w:t>
      </w:r>
    </w:p>
    <w:p>
      <w:pPr>
        <w:ind w:right="131" w:firstLine="780"/>
        <w:spacing w:before="2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5"/>
        </w:rPr>
        <w:t>(五)招标系统。</w:t>
      </w:r>
      <w:r>
        <w:rPr>
          <w:rFonts w:ascii="KaiTi" w:hAnsi="KaiTi" w:eastAsia="KaiTi" w:cs="KaiTi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深圳市财政局(以下简称“市财政局”)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于招标日通过“财政部政府债券发行系统”组织招投标</w:t>
      </w:r>
      <w:r>
        <w:rPr>
          <w:rFonts w:ascii="FangSong" w:hAnsi="FangSong" w:eastAsia="FangSong" w:cs="FangSong"/>
          <w:sz w:val="31"/>
          <w:szCs w:val="31"/>
          <w:spacing w:val="7"/>
        </w:rPr>
        <w:t>工作。</w:t>
      </w:r>
    </w:p>
    <w:p>
      <w:pPr>
        <w:ind w:left="654"/>
        <w:spacing w:before="1" w:line="220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5"/>
        </w:rPr>
        <w:t>三、发行款缴纳</w:t>
      </w:r>
    </w:p>
    <w:p>
      <w:pPr>
        <w:ind w:right="15" w:firstLine="649"/>
        <w:spacing w:before="204" w:line="338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5"/>
        </w:rPr>
        <w:t>承销团成员于2024年6月27日15:00前，按照承销额度及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缴款通知书上确定金额，将发行款通过大额实时支付系统缴入市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财政局指定账户。缴款日期以市财政局指定账户收到款项为准。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承销团成员未按时缴付发行款的，按规定将违约金通过大额实时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支付系统缴入市财政局指定账户。</w:t>
      </w:r>
    </w:p>
    <w:p>
      <w:pPr>
        <w:ind w:left="649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市财政局收款账户信息：</w:t>
      </w:r>
    </w:p>
    <w:p>
      <w:pPr>
        <w:ind w:left="649"/>
        <w:spacing w:before="186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户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  </w:t>
      </w:r>
      <w:r>
        <w:rPr>
          <w:rFonts w:ascii="FangSong" w:hAnsi="FangSong" w:eastAsia="FangSong" w:cs="FangSong"/>
          <w:sz w:val="31"/>
          <w:szCs w:val="31"/>
          <w:spacing w:val="7"/>
        </w:rPr>
        <w:t>名：深圳市财政库款</w:t>
      </w:r>
    </w:p>
    <w:p>
      <w:pPr>
        <w:ind w:left="649"/>
        <w:spacing w:before="203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账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   </w:t>
      </w:r>
      <w:r>
        <w:rPr>
          <w:rFonts w:ascii="FangSong" w:hAnsi="FangSong" w:eastAsia="FangSong" w:cs="FangSong"/>
          <w:sz w:val="31"/>
          <w:szCs w:val="31"/>
          <w:spacing w:val="6"/>
        </w:rPr>
        <w:t>号：380100000003271001</w:t>
      </w:r>
    </w:p>
    <w:p>
      <w:pPr>
        <w:ind w:left="649"/>
        <w:spacing w:before="16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开户银行：国家金库深圳分库</w:t>
      </w:r>
    </w:p>
    <w:p>
      <w:pPr>
        <w:ind w:left="654"/>
        <w:spacing w:before="195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"/>
        </w:rPr>
        <w:t>汇入行行号：011584003008</w:t>
      </w:r>
    </w:p>
    <w:p>
      <w:pPr>
        <w:ind w:right="45" w:firstLine="654"/>
        <w:spacing w:before="192" w:line="33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支付报文中附言为必录项，填写时应当注明缴款级</w:t>
      </w:r>
      <w:r>
        <w:rPr>
          <w:rFonts w:ascii="FangSong" w:hAnsi="FangSong" w:eastAsia="FangSong" w:cs="FangSong"/>
          <w:sz w:val="31"/>
          <w:szCs w:val="31"/>
          <w:b/>
          <w:bCs/>
          <w:spacing w:val="2"/>
        </w:rPr>
        <w:t>次、收入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4"/>
        </w:rPr>
        <w:t>科</w:t>
      </w:r>
      <w:r>
        <w:rPr>
          <w:rFonts w:ascii="FangSong" w:hAnsi="FangSong" w:eastAsia="FangSong" w:cs="FangSong"/>
          <w:sz w:val="31"/>
          <w:szCs w:val="31"/>
          <w:spacing w:val="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4"/>
        </w:rPr>
        <w:t>目</w:t>
      </w:r>
      <w:r>
        <w:rPr>
          <w:rFonts w:ascii="FangSong" w:hAnsi="FangSong" w:eastAsia="FangSong" w:cs="FangSong"/>
          <w:sz w:val="31"/>
          <w:szCs w:val="31"/>
          <w:b/>
          <w:bCs/>
          <w:spacing w:val="34"/>
        </w:rPr>
        <w:t>代码、债券简称及资金用途。本批债券录入</w:t>
      </w:r>
      <w:r>
        <w:rPr>
          <w:rFonts w:ascii="FangSong" w:hAnsi="FangSong" w:eastAsia="FangSong" w:cs="FangSong"/>
          <w:sz w:val="31"/>
          <w:szCs w:val="31"/>
          <w:b/>
          <w:bCs/>
          <w:spacing w:val="33"/>
        </w:rPr>
        <w:t>：市级</w:t>
      </w:r>
      <w:r>
        <w:rPr>
          <w:rFonts w:ascii="FangSong" w:hAnsi="FangSong" w:eastAsia="FangSong" w:cs="FangSong"/>
          <w:sz w:val="31"/>
          <w:szCs w:val="31"/>
          <w:spacing w:val="33"/>
        </w:rPr>
        <w:t>、</w:t>
      </w:r>
    </w:p>
    <w:p>
      <w:pPr>
        <w:ind w:left="4" w:right="70"/>
        <w:spacing w:before="3" w:line="27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6"/>
        </w:rPr>
        <w:t>105040298、24深圳债第二批发行款。如未及时缴款，请按照原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7"/>
        </w:rPr>
        <w:t>承销合同要求缴纳违约金，并录入：市级、1039</w:t>
      </w:r>
      <w:r>
        <w:rPr>
          <w:rFonts w:ascii="FangSong" w:hAnsi="FangSong" w:eastAsia="FangSong" w:cs="FangSong"/>
          <w:sz w:val="31"/>
          <w:szCs w:val="31"/>
          <w:b/>
          <w:bCs/>
          <w:spacing w:val="6"/>
        </w:rPr>
        <w:t>999、24深圳债</w:t>
      </w:r>
    </w:p>
    <w:p>
      <w:pPr>
        <w:ind w:left="4"/>
        <w:spacing w:before="206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-5"/>
        </w:rPr>
        <w:t>**逾期违约金。</w:t>
      </w:r>
    </w:p>
    <w:p>
      <w:pPr>
        <w:spacing w:line="223" w:lineRule="auto"/>
        <w:sectPr>
          <w:footerReference w:type="default" r:id="rId3"/>
          <w:pgSz w:w="11920" w:h="16830"/>
          <w:pgMar w:top="1430" w:right="1429" w:bottom="1646" w:left="1569" w:header="0" w:footer="1322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61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ind w:left="624"/>
        <w:spacing w:before="97" w:line="222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7"/>
        </w:rPr>
        <w:t>四</w:t>
      </w:r>
      <w:r>
        <w:rPr>
          <w:rFonts w:ascii="SimHei" w:hAnsi="SimHei" w:eastAsia="SimHei" w:cs="SimHei"/>
          <w:sz w:val="30"/>
          <w:szCs w:val="30"/>
          <w:spacing w:val="-68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-7"/>
        </w:rPr>
        <w:t>、其他</w:t>
      </w:r>
    </w:p>
    <w:p>
      <w:pPr>
        <w:ind w:right="39" w:firstLine="750"/>
        <w:spacing w:before="188" w:line="3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2"/>
        </w:rPr>
        <w:t>(</w:t>
      </w:r>
      <w:r>
        <w:rPr>
          <w:rFonts w:ascii="FangSong" w:hAnsi="FangSong" w:eastAsia="FangSong" w:cs="FangSong"/>
          <w:sz w:val="30"/>
          <w:szCs w:val="30"/>
          <w:spacing w:val="-8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2"/>
        </w:rPr>
        <w:t>一)根据《财政部国家税务总局关于地方政府债</w:t>
      </w:r>
      <w:r>
        <w:rPr>
          <w:rFonts w:ascii="FangSong" w:hAnsi="FangSong" w:eastAsia="FangSong" w:cs="FangSong"/>
          <w:sz w:val="30"/>
          <w:szCs w:val="30"/>
          <w:spacing w:val="31"/>
        </w:rPr>
        <w:t>券利息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9"/>
        </w:rPr>
        <w:t>免征所得税问题的通知》(财税〔2013〕5号)的规定，对</w:t>
      </w:r>
      <w:r>
        <w:rPr>
          <w:rFonts w:ascii="FangSong" w:hAnsi="FangSong" w:eastAsia="FangSong" w:cs="FangSong"/>
          <w:sz w:val="30"/>
          <w:szCs w:val="30"/>
          <w:spacing w:val="28"/>
        </w:rPr>
        <w:t>企业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和个人取得的深圳市政府债券利息所得，免征企业所得税</w:t>
      </w:r>
      <w:r>
        <w:rPr>
          <w:rFonts w:ascii="FangSong" w:hAnsi="FangSong" w:eastAsia="FangSong" w:cs="FangSong"/>
          <w:sz w:val="30"/>
          <w:szCs w:val="30"/>
          <w:spacing w:val="14"/>
        </w:rPr>
        <w:t>和个人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所得税。</w:t>
      </w:r>
    </w:p>
    <w:p>
      <w:pPr>
        <w:ind w:left="29" w:firstLine="750"/>
        <w:spacing w:before="174" w:line="31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15"/>
        </w:rPr>
        <w:t>(</w:t>
      </w:r>
      <w:r>
        <w:rPr>
          <w:rFonts w:ascii="KaiTi" w:hAnsi="KaiTi" w:eastAsia="KaiTi" w:cs="KaiTi"/>
          <w:sz w:val="30"/>
          <w:szCs w:val="30"/>
          <w:spacing w:val="15"/>
        </w:rPr>
        <w:t xml:space="preserve"> </w:t>
      </w:r>
      <w:r>
        <w:rPr>
          <w:rFonts w:ascii="KaiTi" w:hAnsi="KaiTi" w:eastAsia="KaiTi" w:cs="KaiTi"/>
          <w:sz w:val="30"/>
          <w:szCs w:val="30"/>
          <w:spacing w:val="15"/>
        </w:rPr>
        <w:t>二</w:t>
      </w:r>
      <w:r>
        <w:rPr>
          <w:rFonts w:ascii="FangSong" w:hAnsi="FangSong" w:eastAsia="FangSong" w:cs="FangSong"/>
          <w:sz w:val="30"/>
          <w:szCs w:val="30"/>
          <w:spacing w:val="15"/>
        </w:rPr>
        <w:t>)除上述规定外，发行工作其他事宜按《深圳市财政局</w:t>
      </w:r>
      <w:r>
        <w:rPr>
          <w:rFonts w:ascii="FangSong" w:hAnsi="FangSong" w:eastAsia="FangSong" w:cs="FangSong"/>
          <w:sz w:val="30"/>
          <w:szCs w:val="30"/>
          <w:spacing w:val="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0"/>
        </w:rPr>
        <w:t>关于印发〈深圳市政府债券招标发行和兑付办法〉的通知》(深</w:t>
      </w:r>
      <w:r>
        <w:rPr>
          <w:rFonts w:ascii="FangSong" w:hAnsi="FangSong" w:eastAsia="FangSong" w:cs="FangSong"/>
          <w:sz w:val="30"/>
          <w:szCs w:val="30"/>
          <w:spacing w:val="1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5"/>
        </w:rPr>
        <w:t>财库〔2023〕77号)规定执行。</w:t>
      </w:r>
    </w:p>
    <w:p>
      <w:pPr>
        <w:ind w:left="669"/>
        <w:spacing w:before="215" w:line="22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7"/>
        </w:rPr>
        <w:t>特此通知。</w:t>
      </w:r>
    </w:p>
    <w:p>
      <w:pPr>
        <w:pStyle w:val="BodyText"/>
        <w:spacing w:line="334" w:lineRule="auto"/>
        <w:rPr/>
      </w:pPr>
      <w:r/>
    </w:p>
    <w:p>
      <w:pPr>
        <w:pStyle w:val="BodyText"/>
        <w:spacing w:line="334" w:lineRule="auto"/>
        <w:rPr/>
      </w:pPr>
      <w:r/>
    </w:p>
    <w:p>
      <w:pPr>
        <w:ind w:left="1659" w:right="564" w:hanging="970"/>
        <w:spacing w:before="98" w:line="33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1"/>
        </w:rPr>
        <w:t>附件：1.2024年6月26日深圳市政府债券发行情况表</w:t>
      </w:r>
      <w:r>
        <w:rPr>
          <w:rFonts w:ascii="FangSong" w:hAnsi="FangSong" w:eastAsia="FangSong" w:cs="FangSong"/>
          <w:sz w:val="30"/>
          <w:szCs w:val="30"/>
          <w:spacing w:val="1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8"/>
        </w:rPr>
        <w:t>2.2024—2026年深圳市政府债券承销团成员名单</w:t>
      </w:r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ind w:left="5470"/>
        <w:spacing w:before="98" w:line="221" w:lineRule="auto"/>
        <w:rPr>
          <w:rFonts w:ascii="FangSong" w:hAnsi="FangSong" w:eastAsia="FangSong" w:cs="FangSong"/>
          <w:sz w:val="30"/>
          <w:szCs w:val="30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3359166</wp:posOffset>
            </wp:positionH>
            <wp:positionV relativeFrom="paragraph">
              <wp:posOffset>-463075</wp:posOffset>
            </wp:positionV>
            <wp:extent cx="1555732" cy="1530385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55732" cy="1530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0"/>
          <w:szCs w:val="30"/>
          <w:spacing w:val="19"/>
        </w:rPr>
        <w:t>深圳市财政局</w:t>
      </w:r>
    </w:p>
    <w:p>
      <w:pPr>
        <w:ind w:left="5280"/>
        <w:spacing w:before="214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4"/>
          <w:w w:val="104"/>
        </w:rPr>
        <w:t>2024年6月14日</w:t>
      </w:r>
    </w:p>
    <w:p>
      <w:pPr>
        <w:spacing w:line="222" w:lineRule="auto"/>
        <w:sectPr>
          <w:footerReference w:type="default" r:id="rId4"/>
          <w:pgSz w:w="11900" w:h="16830"/>
          <w:pgMar w:top="1430" w:right="1511" w:bottom="1556" w:left="1529" w:header="0" w:footer="1242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306" w:lineRule="auto"/>
        <w:rPr/>
      </w:pPr>
      <w:r/>
    </w:p>
    <w:p>
      <w:pPr>
        <w:pStyle w:val="BodyText"/>
        <w:spacing w:line="307" w:lineRule="auto"/>
        <w:rPr/>
      </w:pPr>
      <w:r/>
    </w:p>
    <w:p>
      <w:pPr>
        <w:pStyle w:val="BodyText"/>
        <w:spacing w:line="307" w:lineRule="auto"/>
        <w:rPr/>
      </w:pPr>
      <w:r/>
    </w:p>
    <w:p>
      <w:pPr>
        <w:ind w:left="29"/>
        <w:spacing w:before="104" w:line="224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35"/>
        </w:rPr>
        <w:t>附件1</w:t>
      </w:r>
    </w:p>
    <w:p>
      <w:pPr>
        <w:pStyle w:val="BodyText"/>
        <w:spacing w:line="291" w:lineRule="auto"/>
        <w:rPr/>
      </w:pPr>
      <w:r/>
    </w:p>
    <w:p>
      <w:pPr>
        <w:pStyle w:val="BodyText"/>
        <w:spacing w:line="291" w:lineRule="auto"/>
        <w:rPr/>
      </w:pPr>
      <w:r/>
    </w:p>
    <w:p>
      <w:pPr>
        <w:pStyle w:val="BodyText"/>
        <w:spacing w:line="291" w:lineRule="auto"/>
        <w:rPr/>
      </w:pPr>
      <w:r/>
    </w:p>
    <w:p>
      <w:pPr>
        <w:pStyle w:val="BodyText"/>
        <w:spacing w:line="291" w:lineRule="auto"/>
        <w:rPr/>
      </w:pPr>
      <w:r/>
    </w:p>
    <w:p>
      <w:pPr>
        <w:ind w:left="2681"/>
        <w:spacing w:before="146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17"/>
        </w:rPr>
        <w:t>2024年6月26日深圳市政府债券发行情况表</w:t>
      </w:r>
    </w:p>
    <w:p>
      <w:pPr>
        <w:spacing w:before="160"/>
        <w:rPr/>
      </w:pPr>
      <w:r/>
    </w:p>
    <w:tbl>
      <w:tblPr>
        <w:tblStyle w:val="TableNormal"/>
        <w:tblW w:w="1421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75"/>
        <w:gridCol w:w="1309"/>
        <w:gridCol w:w="1179"/>
        <w:gridCol w:w="1189"/>
        <w:gridCol w:w="799"/>
        <w:gridCol w:w="879"/>
        <w:gridCol w:w="830"/>
        <w:gridCol w:w="769"/>
        <w:gridCol w:w="1619"/>
        <w:gridCol w:w="2688"/>
        <w:gridCol w:w="620"/>
        <w:gridCol w:w="829"/>
        <w:gridCol w:w="825"/>
      </w:tblGrid>
      <w:tr>
        <w:trPr>
          <w:trHeight w:val="933" w:hRule="atLeast"/>
        </w:trPr>
        <w:tc>
          <w:tcPr>
            <w:tcW w:w="675" w:type="dxa"/>
            <w:vAlign w:val="top"/>
          </w:tcPr>
          <w:p>
            <w:pPr>
              <w:pStyle w:val="TableText"/>
              <w:spacing w:line="304" w:lineRule="auto"/>
              <w:rPr/>
            </w:pPr>
            <w:r/>
          </w:p>
          <w:p>
            <w:pPr>
              <w:ind w:left="127"/>
              <w:spacing w:before="6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4"/>
              </w:rPr>
              <w:t>序号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spacing w:line="303" w:lineRule="auto"/>
              <w:rPr/>
            </w:pPr>
            <w:r/>
          </w:p>
          <w:p>
            <w:pPr>
              <w:ind w:left="242"/>
              <w:spacing w:before="65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4"/>
              </w:rPr>
              <w:t>债券名称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spacing w:line="302" w:lineRule="auto"/>
              <w:rPr/>
            </w:pPr>
            <w:r/>
          </w:p>
          <w:p>
            <w:pPr>
              <w:ind w:left="183"/>
              <w:spacing w:before="65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4"/>
              </w:rPr>
              <w:t>债券简称</w:t>
            </w:r>
          </w:p>
        </w:tc>
        <w:tc>
          <w:tcPr>
            <w:tcW w:w="1189" w:type="dxa"/>
            <w:vAlign w:val="top"/>
          </w:tcPr>
          <w:p>
            <w:pPr>
              <w:pStyle w:val="TableText"/>
              <w:spacing w:line="303" w:lineRule="auto"/>
              <w:rPr/>
            </w:pPr>
            <w:r/>
          </w:p>
          <w:p>
            <w:pPr>
              <w:ind w:left="184"/>
              <w:spacing w:before="65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4"/>
              </w:rPr>
              <w:t>债券代码</w:t>
            </w:r>
          </w:p>
        </w:tc>
        <w:tc>
          <w:tcPr>
            <w:tcW w:w="799" w:type="dxa"/>
            <w:vAlign w:val="top"/>
          </w:tcPr>
          <w:p>
            <w:pPr>
              <w:ind w:left="195"/>
              <w:spacing w:before="181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5"/>
              </w:rPr>
              <w:t>期限</w:t>
            </w:r>
          </w:p>
          <w:p>
            <w:pPr>
              <w:ind w:left="195"/>
              <w:spacing w:before="71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10"/>
              </w:rPr>
              <w:t>(年)</w:t>
            </w:r>
          </w:p>
        </w:tc>
        <w:tc>
          <w:tcPr>
            <w:tcW w:w="879" w:type="dxa"/>
            <w:vAlign w:val="top"/>
          </w:tcPr>
          <w:p>
            <w:pPr>
              <w:ind w:left="136" w:right="94"/>
              <w:spacing w:before="42" w:line="271" w:lineRule="auto"/>
              <w:jc w:val="both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5"/>
              </w:rPr>
              <w:t>计划发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6"/>
              </w:rPr>
              <w:t>行面值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7"/>
              </w:rPr>
              <w:t>(亿元)</w:t>
            </w:r>
          </w:p>
        </w:tc>
        <w:tc>
          <w:tcPr>
            <w:tcW w:w="830" w:type="dxa"/>
            <w:vAlign w:val="top"/>
          </w:tcPr>
          <w:p>
            <w:pPr>
              <w:ind w:left="107"/>
              <w:spacing w:before="40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5"/>
              </w:rPr>
              <w:t>竞争性</w:t>
            </w:r>
          </w:p>
          <w:p>
            <w:pPr>
              <w:ind w:left="107"/>
              <w:spacing w:before="83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5"/>
              </w:rPr>
              <w:t>招标时</w:t>
            </w:r>
          </w:p>
          <w:p>
            <w:pPr>
              <w:ind w:left="307"/>
              <w:spacing w:before="7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3"/>
              </w:rPr>
              <w:t>间</w:t>
            </w:r>
          </w:p>
        </w:tc>
        <w:tc>
          <w:tcPr>
            <w:tcW w:w="769" w:type="dxa"/>
            <w:vAlign w:val="top"/>
          </w:tcPr>
          <w:p>
            <w:pPr>
              <w:ind w:left="177"/>
              <w:spacing w:before="200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5"/>
              </w:rPr>
              <w:t>付息</w:t>
            </w:r>
          </w:p>
          <w:p>
            <w:pPr>
              <w:ind w:left="177"/>
              <w:spacing w:before="82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5"/>
              </w:rPr>
              <w:t>频率</w:t>
            </w:r>
          </w:p>
        </w:tc>
        <w:tc>
          <w:tcPr>
            <w:tcW w:w="1619" w:type="dxa"/>
            <w:vAlign w:val="top"/>
          </w:tcPr>
          <w:p>
            <w:pPr>
              <w:pStyle w:val="TableText"/>
              <w:spacing w:line="303" w:lineRule="auto"/>
              <w:rPr/>
            </w:pPr>
            <w:r/>
          </w:p>
          <w:p>
            <w:pPr>
              <w:ind w:left="508"/>
              <w:spacing w:before="65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7"/>
              </w:rPr>
              <w:t>付息日</w:t>
            </w:r>
          </w:p>
        </w:tc>
        <w:tc>
          <w:tcPr>
            <w:tcW w:w="2688" w:type="dxa"/>
            <w:vAlign w:val="top"/>
          </w:tcPr>
          <w:p>
            <w:pPr>
              <w:pStyle w:val="TableText"/>
              <w:spacing w:line="302" w:lineRule="auto"/>
              <w:rPr/>
            </w:pPr>
            <w:r/>
          </w:p>
          <w:p>
            <w:pPr>
              <w:ind w:left="939"/>
              <w:spacing w:before="65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4"/>
              </w:rPr>
              <w:t>还本安排</w:t>
            </w:r>
          </w:p>
        </w:tc>
        <w:tc>
          <w:tcPr>
            <w:tcW w:w="620" w:type="dxa"/>
            <w:vAlign w:val="top"/>
          </w:tcPr>
          <w:p>
            <w:pPr>
              <w:ind w:left="111"/>
              <w:spacing w:before="50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5"/>
              </w:rPr>
              <w:t>发行</w:t>
            </w:r>
          </w:p>
          <w:p>
            <w:pPr>
              <w:ind w:left="111"/>
              <w:spacing w:before="61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5"/>
              </w:rPr>
              <w:t>手续</w:t>
            </w:r>
          </w:p>
          <w:p>
            <w:pPr>
              <w:ind w:left="111"/>
              <w:spacing w:before="110" w:line="20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1"/>
              </w:rPr>
              <w:t>费率</w:t>
            </w:r>
          </w:p>
        </w:tc>
        <w:tc>
          <w:tcPr>
            <w:tcW w:w="829" w:type="dxa"/>
            <w:vAlign w:val="top"/>
          </w:tcPr>
          <w:p>
            <w:pPr>
              <w:ind w:left="111"/>
              <w:spacing w:before="200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5"/>
              </w:rPr>
              <w:t>发行地</w:t>
            </w:r>
          </w:p>
          <w:p>
            <w:pPr>
              <w:ind w:left="311"/>
              <w:spacing w:before="105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3"/>
              </w:rPr>
              <w:t>点</w:t>
            </w:r>
          </w:p>
        </w:tc>
        <w:tc>
          <w:tcPr>
            <w:tcW w:w="825" w:type="dxa"/>
            <w:vAlign w:val="top"/>
          </w:tcPr>
          <w:p>
            <w:pPr>
              <w:ind w:left="311" w:right="89" w:hanging="199"/>
              <w:spacing w:before="201" w:line="30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2"/>
              </w:rPr>
              <w:t>招标系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3"/>
              </w:rPr>
              <w:t>统</w:t>
            </w:r>
          </w:p>
        </w:tc>
      </w:tr>
      <w:tr>
        <w:trPr>
          <w:trHeight w:val="4367" w:hRule="atLeast"/>
        </w:trPr>
        <w:tc>
          <w:tcPr>
            <w:tcW w:w="675" w:type="dxa"/>
            <w:vAlign w:val="top"/>
          </w:tcPr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ind w:left="277"/>
              <w:spacing w:before="65" w:line="24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3"/>
              </w:rPr>
              <w:t>1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42" w:right="69" w:firstLine="99"/>
              <w:spacing w:before="65" w:line="293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4"/>
              </w:rPr>
              <w:t>2024年深圳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5"/>
              </w:rPr>
              <w:t>市政府专项债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4"/>
              </w:rPr>
              <w:t>券(十四期)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83"/>
              <w:spacing w:before="65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4"/>
              </w:rPr>
              <w:t>24深圳债23</w:t>
            </w:r>
          </w:p>
        </w:tc>
        <w:tc>
          <w:tcPr>
            <w:tcW w:w="1189" w:type="dxa"/>
            <w:vAlign w:val="top"/>
          </w:tcPr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ind w:left="234"/>
              <w:spacing w:before="65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4"/>
              </w:rPr>
              <w:t>2405481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ind w:left="295"/>
              <w:spacing w:before="65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5"/>
              </w:rPr>
              <w:t>20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ind w:left="186"/>
              <w:spacing w:before="65" w:line="23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6"/>
              </w:rPr>
              <w:t>18.52</w:t>
            </w:r>
          </w:p>
        </w:tc>
        <w:tc>
          <w:tcPr>
            <w:tcW w:w="830" w:type="dxa"/>
            <w:vAlign w:val="top"/>
          </w:tcPr>
          <w:p>
            <w:pPr>
              <w:pStyle w:val="TableText"/>
              <w:spacing w:line="271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pStyle w:val="TableText"/>
              <w:spacing w:line="272" w:lineRule="auto"/>
              <w:rPr/>
            </w:pPr>
            <w:r/>
          </w:p>
          <w:p>
            <w:pPr>
              <w:pStyle w:val="TableText"/>
              <w:spacing w:line="272" w:lineRule="auto"/>
              <w:rPr/>
            </w:pPr>
            <w:r/>
          </w:p>
          <w:p>
            <w:pPr>
              <w:pStyle w:val="TableText"/>
              <w:spacing w:line="272" w:lineRule="auto"/>
              <w:rPr/>
            </w:pPr>
            <w:r/>
          </w:p>
          <w:p>
            <w:pPr>
              <w:pStyle w:val="TableText"/>
              <w:spacing w:line="272" w:lineRule="auto"/>
              <w:rPr/>
            </w:pPr>
            <w:r/>
          </w:p>
          <w:p>
            <w:pPr>
              <w:ind w:left="207" w:right="84" w:hanging="150"/>
              <w:spacing w:before="65" w:line="29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6"/>
              </w:rPr>
              <w:t>16:00-1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4"/>
              </w:rPr>
              <w:t>6:40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ind w:left="177"/>
              <w:spacing w:before="65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5"/>
              </w:rPr>
              <w:t>每半</w:t>
            </w:r>
          </w:p>
          <w:p>
            <w:pPr>
              <w:ind w:left="177"/>
              <w:spacing w:before="92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5"/>
              </w:rPr>
              <w:t>年付</w:t>
            </w:r>
          </w:p>
          <w:p>
            <w:pPr>
              <w:ind w:left="276" w:right="175" w:hanging="99"/>
              <w:spacing w:before="81" w:line="27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</w:rPr>
              <w:t>息一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3"/>
              </w:rPr>
              <w:t>次</w:t>
            </w:r>
          </w:p>
        </w:tc>
        <w:tc>
          <w:tcPr>
            <w:tcW w:w="1619" w:type="dxa"/>
            <w:vAlign w:val="top"/>
          </w:tcPr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208" w:right="157" w:hanging="50"/>
              <w:spacing w:before="65" w:line="278" w:lineRule="auto"/>
              <w:jc w:val="both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3"/>
              </w:rPr>
              <w:t>存续期内6月27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1"/>
              </w:rPr>
              <w:t>日和12月27日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3"/>
              </w:rPr>
              <w:t>(节假日顺延)</w:t>
            </w:r>
          </w:p>
        </w:tc>
        <w:tc>
          <w:tcPr>
            <w:tcW w:w="2688" w:type="dxa"/>
            <w:vAlign w:val="top"/>
          </w:tcPr>
          <w:p>
            <w:pPr>
              <w:ind w:left="89"/>
              <w:spacing w:before="57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3"/>
              </w:rPr>
              <w:t>第1次：2039年6月27日(第</w:t>
            </w:r>
          </w:p>
          <w:p>
            <w:pPr>
              <w:ind w:left="139"/>
              <w:spacing w:before="69" w:line="21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2"/>
              </w:rPr>
              <w:t>30计息期),本次偿还金额占</w:t>
            </w:r>
          </w:p>
          <w:p>
            <w:pPr>
              <w:ind w:left="539"/>
              <w:spacing w:before="88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3"/>
              </w:rPr>
              <w:t>发行总额比例10%。</w:t>
            </w:r>
          </w:p>
          <w:p>
            <w:pPr>
              <w:ind w:left="189"/>
              <w:spacing w:before="72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3"/>
              </w:rPr>
              <w:t>第2次：2040年6月27日(第</w:t>
            </w:r>
          </w:p>
          <w:p>
            <w:pPr>
              <w:ind w:left="139"/>
              <w:spacing w:before="90" w:line="21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2"/>
              </w:rPr>
              <w:t>32计息期),本次偿还金额占</w:t>
            </w:r>
          </w:p>
          <w:p>
            <w:pPr>
              <w:ind w:left="539"/>
              <w:spacing w:before="79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3"/>
              </w:rPr>
              <w:t>发行总额比例10%。</w:t>
            </w:r>
          </w:p>
          <w:p>
            <w:pPr>
              <w:ind w:left="189"/>
              <w:spacing w:before="63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3"/>
              </w:rPr>
              <w:t>第3次：2041年6月27日(第</w:t>
            </w:r>
          </w:p>
          <w:p>
            <w:pPr>
              <w:ind w:left="139"/>
              <w:spacing w:before="80" w:line="21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2"/>
              </w:rPr>
              <w:t>34计息期),本次偿还金额占</w:t>
            </w:r>
          </w:p>
          <w:p>
            <w:pPr>
              <w:ind w:left="539"/>
              <w:spacing w:before="89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3"/>
              </w:rPr>
              <w:t>发行总额比例10%。</w:t>
            </w:r>
          </w:p>
          <w:p>
            <w:pPr>
              <w:ind w:left="189"/>
              <w:spacing w:before="42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3"/>
              </w:rPr>
              <w:t>第4次：2042年6月27日(第</w:t>
            </w:r>
          </w:p>
          <w:p>
            <w:pPr>
              <w:ind w:left="139"/>
              <w:spacing w:before="80" w:line="21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2"/>
              </w:rPr>
              <w:t>36计息期),本次偿还金额占</w:t>
            </w:r>
          </w:p>
          <w:p>
            <w:pPr>
              <w:ind w:left="539"/>
              <w:spacing w:before="79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3"/>
              </w:rPr>
              <w:t>发行总额比例10%。</w:t>
            </w:r>
          </w:p>
          <w:p>
            <w:pPr>
              <w:ind w:left="189"/>
              <w:spacing w:before="73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3"/>
              </w:rPr>
              <w:t>第5次：2043年6月27日(第</w:t>
            </w:r>
          </w:p>
          <w:p>
            <w:pPr>
              <w:ind w:left="139"/>
              <w:spacing w:before="70" w:line="21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2"/>
              </w:rPr>
              <w:t>38计息期),本次偿还金额占</w:t>
            </w:r>
          </w:p>
        </w:tc>
        <w:tc>
          <w:tcPr>
            <w:tcW w:w="620" w:type="dxa"/>
            <w:vAlign w:val="top"/>
          </w:tcPr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ind w:left="61"/>
              <w:spacing w:before="65" w:line="23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4"/>
              </w:rPr>
              <w:t>0.8%0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ind w:left="111"/>
              <w:spacing w:before="65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2"/>
              </w:rPr>
              <w:t>中央国</w:t>
            </w:r>
          </w:p>
          <w:p>
            <w:pPr>
              <w:ind w:left="111"/>
              <w:spacing w:before="101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5"/>
              </w:rPr>
              <w:t>债登记</w:t>
            </w:r>
          </w:p>
          <w:p>
            <w:pPr>
              <w:ind w:left="111"/>
              <w:spacing w:before="82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5"/>
              </w:rPr>
              <w:t>结算有</w:t>
            </w:r>
          </w:p>
          <w:p>
            <w:pPr>
              <w:ind w:left="111"/>
              <w:spacing w:before="72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2"/>
              </w:rPr>
              <w:t>限责任</w:t>
            </w:r>
          </w:p>
          <w:p>
            <w:pPr>
              <w:ind w:left="111"/>
              <w:spacing w:before="7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6"/>
              </w:rPr>
              <w:t>公司深</w:t>
            </w:r>
          </w:p>
          <w:p>
            <w:pPr>
              <w:ind w:left="111"/>
              <w:spacing w:before="58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5"/>
              </w:rPr>
              <w:t>圳分公</w:t>
            </w:r>
          </w:p>
          <w:p>
            <w:pPr>
              <w:ind w:left="311"/>
              <w:spacing w:before="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3"/>
              </w:rPr>
              <w:t>司</w:t>
            </w:r>
          </w:p>
        </w:tc>
        <w:tc>
          <w:tcPr>
            <w:tcW w:w="825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112"/>
              <w:spacing w:before="65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5"/>
              </w:rPr>
              <w:t>财政部</w:t>
            </w:r>
          </w:p>
          <w:p>
            <w:pPr>
              <w:ind w:left="112"/>
              <w:spacing w:before="71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4"/>
              </w:rPr>
              <w:t>政府债</w:t>
            </w:r>
          </w:p>
          <w:p>
            <w:pPr>
              <w:ind w:left="211" w:right="109" w:hanging="99"/>
              <w:spacing w:before="54" w:line="2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5"/>
              </w:rPr>
              <w:t>券发行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6"/>
              </w:rPr>
              <w:t>系统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6"/>
          <w:pgSz w:w="16830" w:h="11920"/>
          <w:pgMar w:top="1013" w:right="1344" w:bottom="1254" w:left="1264" w:header="0" w:footer="930" w:gutter="0"/>
        </w:sectPr>
        <w:rPr/>
      </w:pPr>
    </w:p>
    <w:p>
      <w:pPr>
        <w:spacing w:before="39"/>
        <w:rPr/>
      </w:pPr>
      <w:r/>
    </w:p>
    <w:p>
      <w:pPr>
        <w:spacing w:before="39"/>
        <w:rPr/>
      </w:pPr>
      <w:r/>
    </w:p>
    <w:p>
      <w:pPr>
        <w:spacing w:before="39"/>
        <w:rPr/>
      </w:pPr>
      <w:r/>
    </w:p>
    <w:tbl>
      <w:tblPr>
        <w:tblStyle w:val="TableNormal"/>
        <w:tblW w:w="1418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64"/>
        <w:gridCol w:w="1319"/>
        <w:gridCol w:w="1189"/>
        <w:gridCol w:w="1179"/>
        <w:gridCol w:w="800"/>
        <w:gridCol w:w="879"/>
        <w:gridCol w:w="839"/>
        <w:gridCol w:w="749"/>
        <w:gridCol w:w="1619"/>
        <w:gridCol w:w="2678"/>
        <w:gridCol w:w="630"/>
        <w:gridCol w:w="830"/>
        <w:gridCol w:w="814"/>
      </w:tblGrid>
      <w:tr>
        <w:trPr>
          <w:trHeight w:val="1253" w:hRule="atLeast"/>
        </w:trPr>
        <w:tc>
          <w:tcPr>
            <w:tcW w:w="6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8" w:type="dxa"/>
            <w:vAlign w:val="top"/>
          </w:tcPr>
          <w:p>
            <w:pPr>
              <w:ind w:left="537"/>
              <w:spacing w:before="53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发行总额比例30%。</w:t>
            </w:r>
          </w:p>
          <w:p>
            <w:pPr>
              <w:ind w:left="188"/>
              <w:spacing w:before="42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第6次：2044年6月27日(第</w:t>
            </w:r>
          </w:p>
          <w:p>
            <w:pPr>
              <w:ind w:left="138"/>
              <w:spacing w:before="79" w:line="21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40计息期),本次偿还金额占</w:t>
            </w:r>
          </w:p>
          <w:p>
            <w:pPr>
              <w:ind w:left="537"/>
              <w:spacing w:before="98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发行总额比例30%。</w:t>
            </w:r>
          </w:p>
        </w:tc>
        <w:tc>
          <w:tcPr>
            <w:tcW w:w="6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929" w:hRule="atLeast"/>
        </w:trPr>
        <w:tc>
          <w:tcPr>
            <w:tcW w:w="664" w:type="dxa"/>
            <w:vAlign w:val="top"/>
          </w:tcPr>
          <w:p>
            <w:pPr>
              <w:pStyle w:val="TableText"/>
              <w:spacing w:line="323" w:lineRule="auto"/>
              <w:rPr/>
            </w:pPr>
            <w:r/>
          </w:p>
          <w:p>
            <w:pPr>
              <w:ind w:left="274"/>
              <w:spacing w:before="65" w:line="24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2</w:t>
            </w:r>
          </w:p>
        </w:tc>
        <w:tc>
          <w:tcPr>
            <w:tcW w:w="1319" w:type="dxa"/>
            <w:vAlign w:val="top"/>
          </w:tcPr>
          <w:p>
            <w:pPr>
              <w:ind w:left="50" w:right="47" w:firstLine="99"/>
              <w:spacing w:before="70" w:line="261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2024年深圳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市政府专项债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券(十五期)</w:t>
            </w:r>
          </w:p>
        </w:tc>
        <w:tc>
          <w:tcPr>
            <w:tcW w:w="1189" w:type="dxa"/>
            <w:vAlign w:val="top"/>
          </w:tcPr>
          <w:p>
            <w:pPr>
              <w:pStyle w:val="TableText"/>
              <w:spacing w:line="303" w:lineRule="auto"/>
              <w:rPr/>
            </w:pPr>
            <w:r/>
          </w:p>
          <w:p>
            <w:pPr>
              <w:ind w:left="81"/>
              <w:spacing w:before="65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24深圳债24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232"/>
              <w:spacing w:before="65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2405482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spacing w:line="322" w:lineRule="auto"/>
              <w:rPr/>
            </w:pPr>
            <w:r/>
          </w:p>
          <w:p>
            <w:pPr>
              <w:ind w:left="343"/>
              <w:spacing w:before="65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7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spacing w:line="322" w:lineRule="auto"/>
              <w:rPr/>
            </w:pPr>
            <w:r/>
          </w:p>
          <w:p>
            <w:pPr>
              <w:ind w:left="183"/>
              <w:spacing w:before="65" w:line="23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10.52</w:t>
            </w:r>
          </w:p>
        </w:tc>
        <w:tc>
          <w:tcPr>
            <w:tcW w:w="839" w:type="dxa"/>
            <w:vAlign w:val="top"/>
          </w:tcPr>
          <w:p>
            <w:pPr>
              <w:ind w:left="214" w:right="86" w:hanging="149"/>
              <w:spacing w:before="250" w:line="29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16:00-1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6:40</w:t>
            </w:r>
          </w:p>
        </w:tc>
        <w:tc>
          <w:tcPr>
            <w:tcW w:w="749" w:type="dxa"/>
            <w:vAlign w:val="top"/>
          </w:tcPr>
          <w:p>
            <w:pPr>
              <w:ind w:left="165" w:right="158"/>
              <w:spacing w:before="80" w:line="258" w:lineRule="auto"/>
              <w:jc w:val="both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每年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付息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一次</w:t>
            </w:r>
          </w:p>
        </w:tc>
        <w:tc>
          <w:tcPr>
            <w:tcW w:w="1619" w:type="dxa"/>
            <w:vAlign w:val="top"/>
          </w:tcPr>
          <w:p>
            <w:pPr>
              <w:ind w:left="107" w:right="58" w:firstLine="49"/>
              <w:spacing w:before="209" w:line="29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存续期内6月27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日(节假日顺延)</w:t>
            </w:r>
          </w:p>
        </w:tc>
        <w:tc>
          <w:tcPr>
            <w:tcW w:w="2678" w:type="dxa"/>
            <w:vAlign w:val="top"/>
          </w:tcPr>
          <w:p>
            <w:pPr>
              <w:pStyle w:val="TableText"/>
              <w:spacing w:line="302" w:lineRule="auto"/>
              <w:rPr/>
            </w:pPr>
            <w:r/>
          </w:p>
          <w:p>
            <w:pPr>
              <w:ind w:left="437"/>
              <w:spacing w:before="65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到期一次性偿还本金</w:t>
            </w:r>
          </w:p>
        </w:tc>
        <w:tc>
          <w:tcPr>
            <w:tcW w:w="630" w:type="dxa"/>
            <w:vAlign w:val="top"/>
          </w:tcPr>
          <w:p>
            <w:pPr>
              <w:pStyle w:val="TableText"/>
              <w:spacing w:line="306" w:lineRule="auto"/>
              <w:rPr/>
            </w:pPr>
            <w:r/>
          </w:p>
          <w:p>
            <w:pPr>
              <w:ind w:left="109"/>
              <w:spacing w:before="6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同上</w:t>
            </w:r>
          </w:p>
        </w:tc>
        <w:tc>
          <w:tcPr>
            <w:tcW w:w="830" w:type="dxa"/>
            <w:vAlign w:val="top"/>
          </w:tcPr>
          <w:p>
            <w:pPr>
              <w:pStyle w:val="TableText"/>
              <w:spacing w:line="306" w:lineRule="auto"/>
              <w:rPr/>
            </w:pPr>
            <w:r/>
          </w:p>
          <w:p>
            <w:pPr>
              <w:ind w:left="209"/>
              <w:spacing w:before="6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同上</w:t>
            </w:r>
          </w:p>
        </w:tc>
        <w:tc>
          <w:tcPr>
            <w:tcW w:w="814" w:type="dxa"/>
            <w:vAlign w:val="top"/>
          </w:tcPr>
          <w:p>
            <w:pPr>
              <w:pStyle w:val="TableText"/>
              <w:spacing w:line="306" w:lineRule="auto"/>
              <w:rPr/>
            </w:pPr>
            <w:r/>
          </w:p>
          <w:p>
            <w:pPr>
              <w:ind w:left="199"/>
              <w:spacing w:before="6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同上</w:t>
            </w:r>
          </w:p>
        </w:tc>
      </w:tr>
      <w:tr>
        <w:trPr>
          <w:trHeight w:val="1248" w:hRule="atLeast"/>
        </w:trPr>
        <w:tc>
          <w:tcPr>
            <w:tcW w:w="664" w:type="dxa"/>
            <w:vAlign w:val="top"/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274"/>
              <w:spacing w:before="65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3</w:t>
            </w:r>
          </w:p>
        </w:tc>
        <w:tc>
          <w:tcPr>
            <w:tcW w:w="1319" w:type="dxa"/>
            <w:vAlign w:val="top"/>
          </w:tcPr>
          <w:p>
            <w:pPr>
              <w:ind w:left="50" w:right="47" w:firstLine="99"/>
              <w:spacing w:before="231" w:line="274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2024年深圳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市政府专项债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券(十六期)</w:t>
            </w:r>
          </w:p>
        </w:tc>
        <w:tc>
          <w:tcPr>
            <w:tcW w:w="1189" w:type="dxa"/>
            <w:vAlign w:val="top"/>
          </w:tcPr>
          <w:p>
            <w:pPr>
              <w:pStyle w:val="TableText"/>
              <w:spacing w:line="463" w:lineRule="auto"/>
              <w:rPr/>
            </w:pPr>
            <w:r/>
          </w:p>
          <w:p>
            <w:pPr>
              <w:ind w:left="81"/>
              <w:spacing w:before="65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24深圳债25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232"/>
              <w:spacing w:before="65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2405483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293"/>
              <w:spacing w:before="65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183"/>
              <w:spacing w:before="65" w:line="23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18.85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spacing w:line="334" w:lineRule="auto"/>
              <w:rPr/>
            </w:pPr>
            <w:r/>
          </w:p>
          <w:p>
            <w:pPr>
              <w:ind w:left="214" w:right="86" w:hanging="149"/>
              <w:spacing w:before="65" w:line="29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16:00-1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6:40</w:t>
            </w:r>
          </w:p>
        </w:tc>
        <w:tc>
          <w:tcPr>
            <w:tcW w:w="749" w:type="dxa"/>
            <w:vAlign w:val="top"/>
          </w:tcPr>
          <w:p>
            <w:pPr>
              <w:ind w:left="165"/>
              <w:spacing w:before="51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每半</w:t>
            </w:r>
          </w:p>
          <w:p>
            <w:pPr>
              <w:ind w:left="165"/>
              <w:spacing w:before="92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年付</w:t>
            </w:r>
          </w:p>
          <w:p>
            <w:pPr>
              <w:ind w:left="264" w:right="162" w:hanging="99"/>
              <w:spacing w:before="71" w:line="25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息一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</w:rPr>
              <w:t>次</w:t>
            </w:r>
          </w:p>
        </w:tc>
        <w:tc>
          <w:tcPr>
            <w:tcW w:w="1619" w:type="dxa"/>
            <w:vAlign w:val="top"/>
          </w:tcPr>
          <w:p>
            <w:pPr>
              <w:ind w:left="206" w:right="158" w:hanging="49"/>
              <w:spacing w:before="212" w:line="282" w:lineRule="auto"/>
              <w:jc w:val="both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存续期内6月27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日和12月27日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(节假日顺延)</w:t>
            </w:r>
          </w:p>
        </w:tc>
        <w:tc>
          <w:tcPr>
            <w:tcW w:w="2678" w:type="dxa"/>
            <w:vAlign w:val="top"/>
          </w:tcPr>
          <w:p>
            <w:pPr>
              <w:pStyle w:val="TableText"/>
              <w:spacing w:line="462" w:lineRule="auto"/>
              <w:rPr/>
            </w:pPr>
            <w:r/>
          </w:p>
          <w:p>
            <w:pPr>
              <w:ind w:left="437"/>
              <w:spacing w:before="65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到期一次性偿还本金</w:t>
            </w:r>
          </w:p>
        </w:tc>
        <w:tc>
          <w:tcPr>
            <w:tcW w:w="630" w:type="dxa"/>
            <w:vAlign w:val="top"/>
          </w:tcPr>
          <w:p>
            <w:pPr>
              <w:pStyle w:val="TableText"/>
              <w:spacing w:line="466" w:lineRule="auto"/>
              <w:rPr/>
            </w:pPr>
            <w:r/>
          </w:p>
          <w:p>
            <w:pPr>
              <w:ind w:left="109"/>
              <w:spacing w:before="6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同上</w:t>
            </w:r>
          </w:p>
        </w:tc>
        <w:tc>
          <w:tcPr>
            <w:tcW w:w="830" w:type="dxa"/>
            <w:vAlign w:val="top"/>
          </w:tcPr>
          <w:p>
            <w:pPr>
              <w:pStyle w:val="TableText"/>
              <w:spacing w:line="466" w:lineRule="auto"/>
              <w:rPr/>
            </w:pPr>
            <w:r/>
          </w:p>
          <w:p>
            <w:pPr>
              <w:ind w:left="209"/>
              <w:spacing w:before="6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同上</w:t>
            </w:r>
          </w:p>
        </w:tc>
        <w:tc>
          <w:tcPr>
            <w:tcW w:w="814" w:type="dxa"/>
            <w:vAlign w:val="top"/>
          </w:tcPr>
          <w:p>
            <w:pPr>
              <w:pStyle w:val="TableText"/>
              <w:spacing w:line="466" w:lineRule="auto"/>
              <w:rPr/>
            </w:pPr>
            <w:r/>
          </w:p>
          <w:p>
            <w:pPr>
              <w:ind w:left="199"/>
              <w:spacing w:before="6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同上</w:t>
            </w:r>
          </w:p>
        </w:tc>
      </w:tr>
      <w:tr>
        <w:trPr>
          <w:trHeight w:val="1248" w:hRule="atLeast"/>
        </w:trPr>
        <w:tc>
          <w:tcPr>
            <w:tcW w:w="664" w:type="dxa"/>
            <w:vAlign w:val="top"/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274"/>
              <w:spacing w:before="65" w:line="24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4</w:t>
            </w:r>
          </w:p>
        </w:tc>
        <w:tc>
          <w:tcPr>
            <w:tcW w:w="1319" w:type="dxa"/>
            <w:vAlign w:val="top"/>
          </w:tcPr>
          <w:p>
            <w:pPr>
              <w:ind w:left="50" w:right="47" w:firstLine="99"/>
              <w:spacing w:before="242" w:line="279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2024年深圳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市政府专项债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券(十七期)</w:t>
            </w:r>
          </w:p>
        </w:tc>
        <w:tc>
          <w:tcPr>
            <w:tcW w:w="1189" w:type="dxa"/>
            <w:vAlign w:val="top"/>
          </w:tcPr>
          <w:p>
            <w:pPr>
              <w:pStyle w:val="TableText"/>
              <w:spacing w:line="465" w:lineRule="auto"/>
              <w:rPr/>
            </w:pPr>
            <w:r/>
          </w:p>
          <w:p>
            <w:pPr>
              <w:ind w:left="81"/>
              <w:spacing w:before="65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24深圳债26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232"/>
              <w:spacing w:before="65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2405484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293"/>
              <w:spacing w:before="65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283"/>
              <w:spacing w:before="66" w:line="23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1.5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spacing w:line="345" w:lineRule="auto"/>
              <w:rPr/>
            </w:pPr>
            <w:r/>
          </w:p>
          <w:p>
            <w:pPr>
              <w:ind w:left="214" w:right="86" w:hanging="149"/>
              <w:spacing w:before="65" w:line="29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16:00-1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6:40</w:t>
            </w:r>
          </w:p>
        </w:tc>
        <w:tc>
          <w:tcPr>
            <w:tcW w:w="749" w:type="dxa"/>
            <w:vAlign w:val="top"/>
          </w:tcPr>
          <w:p>
            <w:pPr>
              <w:ind w:left="165"/>
              <w:spacing w:before="53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每半</w:t>
            </w:r>
          </w:p>
          <w:p>
            <w:pPr>
              <w:ind w:left="165"/>
              <w:spacing w:before="82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年付</w:t>
            </w:r>
          </w:p>
          <w:p>
            <w:pPr>
              <w:ind w:left="264" w:right="162" w:hanging="99"/>
              <w:spacing w:before="81" w:line="25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息一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</w:rPr>
              <w:t>次</w:t>
            </w:r>
          </w:p>
        </w:tc>
        <w:tc>
          <w:tcPr>
            <w:tcW w:w="1619" w:type="dxa"/>
            <w:vAlign w:val="top"/>
          </w:tcPr>
          <w:p>
            <w:pPr>
              <w:ind w:left="206" w:right="158" w:hanging="49"/>
              <w:spacing w:before="223" w:line="287" w:lineRule="auto"/>
              <w:jc w:val="both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存续期内6月27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日和12月27日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(节假日顺延)</w:t>
            </w:r>
          </w:p>
        </w:tc>
        <w:tc>
          <w:tcPr>
            <w:tcW w:w="2678" w:type="dxa"/>
            <w:vAlign w:val="top"/>
          </w:tcPr>
          <w:p>
            <w:pPr>
              <w:pStyle w:val="TableText"/>
              <w:spacing w:line="464" w:lineRule="auto"/>
              <w:rPr/>
            </w:pPr>
            <w:r/>
          </w:p>
          <w:p>
            <w:pPr>
              <w:ind w:left="437"/>
              <w:spacing w:before="65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到期一次性偿还本金</w:t>
            </w:r>
          </w:p>
        </w:tc>
        <w:tc>
          <w:tcPr>
            <w:tcW w:w="630" w:type="dxa"/>
            <w:vAlign w:val="top"/>
          </w:tcPr>
          <w:p>
            <w:pPr>
              <w:pStyle w:val="TableText"/>
              <w:spacing w:line="468" w:lineRule="auto"/>
              <w:rPr/>
            </w:pPr>
            <w:r/>
          </w:p>
          <w:p>
            <w:pPr>
              <w:ind w:left="109"/>
              <w:spacing w:before="6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同上</w:t>
            </w:r>
          </w:p>
        </w:tc>
        <w:tc>
          <w:tcPr>
            <w:tcW w:w="830" w:type="dxa"/>
            <w:vAlign w:val="top"/>
          </w:tcPr>
          <w:p>
            <w:pPr>
              <w:pStyle w:val="TableText"/>
              <w:spacing w:line="468" w:lineRule="auto"/>
              <w:rPr/>
            </w:pPr>
            <w:r/>
          </w:p>
          <w:p>
            <w:pPr>
              <w:ind w:left="209"/>
              <w:spacing w:before="6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同上</w:t>
            </w:r>
          </w:p>
        </w:tc>
        <w:tc>
          <w:tcPr>
            <w:tcW w:w="814" w:type="dxa"/>
            <w:vAlign w:val="top"/>
          </w:tcPr>
          <w:p>
            <w:pPr>
              <w:pStyle w:val="TableText"/>
              <w:spacing w:line="468" w:lineRule="auto"/>
              <w:rPr/>
            </w:pPr>
            <w:r/>
          </w:p>
          <w:p>
            <w:pPr>
              <w:ind w:left="199"/>
              <w:spacing w:before="6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同上</w:t>
            </w:r>
          </w:p>
        </w:tc>
      </w:tr>
      <w:tr>
        <w:trPr>
          <w:trHeight w:val="3431" w:hRule="atLeast"/>
        </w:trPr>
        <w:tc>
          <w:tcPr>
            <w:tcW w:w="664" w:type="dxa"/>
            <w:vAlign w:val="top"/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274"/>
              <w:spacing w:before="65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5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50" w:right="47" w:firstLine="99"/>
              <w:spacing w:before="65" w:line="288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2024年深圳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市政府专项债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券(十八期)</w:t>
            </w:r>
          </w:p>
        </w:tc>
        <w:tc>
          <w:tcPr>
            <w:tcW w:w="1189" w:type="dxa"/>
            <w:vAlign w:val="top"/>
          </w:tcPr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ind w:left="81"/>
              <w:spacing w:before="65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24深圳债27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232"/>
              <w:spacing w:before="65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2405485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293"/>
              <w:spacing w:before="65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134"/>
              <w:spacing w:before="65" w:line="23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4.2088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spacing w:line="280" w:lineRule="auto"/>
              <w:rPr/>
            </w:pPr>
            <w:r/>
          </w:p>
          <w:p>
            <w:pPr>
              <w:pStyle w:val="TableText"/>
              <w:spacing w:line="280" w:lineRule="auto"/>
              <w:rPr/>
            </w:pPr>
            <w:r/>
          </w:p>
          <w:p>
            <w:pPr>
              <w:pStyle w:val="TableText"/>
              <w:spacing w:line="280" w:lineRule="auto"/>
              <w:rPr/>
            </w:pPr>
            <w:r/>
          </w:p>
          <w:p>
            <w:pPr>
              <w:pStyle w:val="TableText"/>
              <w:spacing w:line="280" w:lineRule="auto"/>
              <w:rPr/>
            </w:pPr>
            <w:r/>
          </w:p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214" w:right="86" w:hanging="149"/>
              <w:spacing w:before="65" w:line="29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16:00-1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6:40</w:t>
            </w:r>
          </w:p>
        </w:tc>
        <w:tc>
          <w:tcPr>
            <w:tcW w:w="749" w:type="dxa"/>
            <w:vAlign w:val="top"/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ind w:left="165"/>
              <w:spacing w:before="65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每半</w:t>
            </w:r>
          </w:p>
          <w:p>
            <w:pPr>
              <w:ind w:left="165"/>
              <w:spacing w:before="92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年付</w:t>
            </w:r>
          </w:p>
          <w:p>
            <w:pPr>
              <w:ind w:left="264" w:right="162" w:hanging="99"/>
              <w:spacing w:before="81" w:line="27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息一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</w:rPr>
              <w:t>次</w:t>
            </w:r>
          </w:p>
        </w:tc>
        <w:tc>
          <w:tcPr>
            <w:tcW w:w="1619" w:type="dxa"/>
            <w:vAlign w:val="top"/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206" w:right="158" w:hanging="49"/>
              <w:spacing w:before="65" w:line="292" w:lineRule="auto"/>
              <w:jc w:val="both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存续期内6月27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日和12月27日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(节假日顺延)</w:t>
            </w:r>
          </w:p>
        </w:tc>
        <w:tc>
          <w:tcPr>
            <w:tcW w:w="2678" w:type="dxa"/>
            <w:vAlign w:val="top"/>
          </w:tcPr>
          <w:p>
            <w:pPr>
              <w:ind w:left="77"/>
              <w:spacing w:before="35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第1次：2035年6月27日(第</w:t>
            </w:r>
          </w:p>
          <w:p>
            <w:pPr>
              <w:ind w:left="138"/>
              <w:spacing w:before="69" w:line="21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22计息期),本次偿还金额占</w:t>
            </w:r>
          </w:p>
          <w:p>
            <w:pPr>
              <w:ind w:left="537"/>
              <w:spacing w:before="78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发行总额比例20%。</w:t>
            </w:r>
          </w:p>
          <w:p>
            <w:pPr>
              <w:ind w:left="188"/>
              <w:spacing w:before="82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第2次：2036年6月27日(第</w:t>
            </w:r>
          </w:p>
          <w:p>
            <w:pPr>
              <w:ind w:left="138"/>
              <w:spacing w:before="70" w:line="21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24计息期),本次偿还金额占</w:t>
            </w:r>
          </w:p>
          <w:p>
            <w:pPr>
              <w:ind w:left="537"/>
              <w:spacing w:before="99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发行总额比例20%。</w:t>
            </w:r>
          </w:p>
          <w:p>
            <w:pPr>
              <w:ind w:left="188"/>
              <w:spacing w:before="53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第3次：2037年6月27日(第</w:t>
            </w:r>
          </w:p>
          <w:p>
            <w:pPr>
              <w:ind w:left="138"/>
              <w:spacing w:before="80" w:line="21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26计息期),本次偿还金额占</w:t>
            </w:r>
          </w:p>
          <w:p>
            <w:pPr>
              <w:ind w:left="537"/>
              <w:spacing w:before="109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发行总额比例20%。</w:t>
            </w:r>
          </w:p>
          <w:p>
            <w:pPr>
              <w:ind w:left="188"/>
              <w:spacing w:before="62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第4次：2038年6月27日(第</w:t>
            </w:r>
          </w:p>
          <w:p>
            <w:pPr>
              <w:ind w:left="138"/>
              <w:spacing w:before="80" w:line="21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28计息期),本次偿还金额占</w:t>
            </w:r>
          </w:p>
        </w:tc>
        <w:tc>
          <w:tcPr>
            <w:tcW w:w="630" w:type="dxa"/>
            <w:vAlign w:val="top"/>
          </w:tcPr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ind w:left="109"/>
              <w:spacing w:before="6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同上</w:t>
            </w:r>
          </w:p>
        </w:tc>
        <w:tc>
          <w:tcPr>
            <w:tcW w:w="830" w:type="dxa"/>
            <w:vAlign w:val="top"/>
          </w:tcPr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ind w:left="209"/>
              <w:spacing w:before="6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同上</w:t>
            </w:r>
          </w:p>
        </w:tc>
        <w:tc>
          <w:tcPr>
            <w:tcW w:w="814" w:type="dxa"/>
            <w:vAlign w:val="top"/>
          </w:tcPr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ind w:left="199"/>
              <w:spacing w:before="6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同上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7"/>
          <w:pgSz w:w="16830" w:h="11920"/>
          <w:pgMar w:top="1013" w:right="1445" w:bottom="946" w:left="1185" w:header="0" w:footer="621" w:gutter="0"/>
        </w:sectPr>
        <w:rPr/>
      </w:pPr>
    </w:p>
    <w:p>
      <w:pPr>
        <w:spacing w:before="39"/>
        <w:rPr/>
      </w:pPr>
      <w:r/>
    </w:p>
    <w:p>
      <w:pPr>
        <w:spacing w:before="39"/>
        <w:rPr/>
      </w:pPr>
      <w:r/>
    </w:p>
    <w:p>
      <w:pPr>
        <w:spacing w:before="39"/>
        <w:rPr/>
      </w:pPr>
      <w:r/>
    </w:p>
    <w:tbl>
      <w:tblPr>
        <w:tblStyle w:val="TableNormal"/>
        <w:tblW w:w="142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75"/>
        <w:gridCol w:w="1309"/>
        <w:gridCol w:w="1189"/>
        <w:gridCol w:w="1179"/>
        <w:gridCol w:w="799"/>
        <w:gridCol w:w="879"/>
        <w:gridCol w:w="839"/>
        <w:gridCol w:w="760"/>
        <w:gridCol w:w="1619"/>
        <w:gridCol w:w="2678"/>
        <w:gridCol w:w="630"/>
        <w:gridCol w:w="829"/>
        <w:gridCol w:w="824"/>
      </w:tblGrid>
      <w:tr>
        <w:trPr>
          <w:trHeight w:val="1253" w:hRule="atLeast"/>
        </w:trPr>
        <w:tc>
          <w:tcPr>
            <w:tcW w:w="6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8" w:type="dxa"/>
            <w:vAlign w:val="top"/>
          </w:tcPr>
          <w:p>
            <w:pPr>
              <w:ind w:left="537"/>
              <w:spacing w:before="53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发行总额比例20%。</w:t>
            </w:r>
          </w:p>
          <w:p>
            <w:pPr>
              <w:ind w:left="186"/>
              <w:spacing w:before="92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第5次：2039年6月27日(第</w:t>
            </w:r>
          </w:p>
          <w:p>
            <w:pPr>
              <w:ind w:left="136"/>
              <w:spacing w:before="69" w:line="21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30计息期),本次偿还金额占</w:t>
            </w:r>
          </w:p>
          <w:p>
            <w:pPr>
              <w:ind w:left="537"/>
              <w:spacing w:before="78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发行总额比例20%。</w:t>
            </w:r>
          </w:p>
        </w:tc>
        <w:tc>
          <w:tcPr>
            <w:tcW w:w="6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1238" w:hRule="atLeast"/>
        </w:trPr>
        <w:tc>
          <w:tcPr>
            <w:tcW w:w="675" w:type="dxa"/>
            <w:vAlign w:val="top"/>
          </w:tcPr>
          <w:p>
            <w:pPr>
              <w:pStyle w:val="TableText"/>
              <w:spacing w:line="471" w:lineRule="auto"/>
              <w:rPr/>
            </w:pPr>
            <w:r/>
          </w:p>
          <w:p>
            <w:pPr>
              <w:ind w:left="275"/>
              <w:spacing w:before="65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6</w:t>
            </w:r>
          </w:p>
        </w:tc>
        <w:tc>
          <w:tcPr>
            <w:tcW w:w="1309" w:type="dxa"/>
            <w:vAlign w:val="top"/>
          </w:tcPr>
          <w:p>
            <w:pPr>
              <w:ind w:left="39" w:right="48" w:firstLine="99"/>
              <w:spacing w:before="200" w:line="288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2024年深圳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市政府专项债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券(十九期)</w:t>
            </w:r>
          </w:p>
        </w:tc>
        <w:tc>
          <w:tcPr>
            <w:tcW w:w="1189" w:type="dxa"/>
            <w:vAlign w:val="top"/>
          </w:tcPr>
          <w:p>
            <w:pPr>
              <w:pStyle w:val="TableText"/>
              <w:spacing w:line="452" w:lineRule="auto"/>
              <w:rPr/>
            </w:pPr>
            <w:r/>
          </w:p>
          <w:p>
            <w:pPr>
              <w:ind w:left="80"/>
              <w:spacing w:before="65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24深圳债28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spacing w:line="471" w:lineRule="auto"/>
              <w:rPr/>
            </w:pPr>
            <w:r/>
          </w:p>
          <w:p>
            <w:pPr>
              <w:ind w:left="231"/>
              <w:spacing w:before="65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2405486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spacing w:line="471" w:lineRule="auto"/>
              <w:rPr/>
            </w:pPr>
            <w:r/>
          </w:p>
          <w:p>
            <w:pPr>
              <w:ind w:left="292"/>
              <w:spacing w:before="65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20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spacing w:line="472" w:lineRule="auto"/>
              <w:rPr/>
            </w:pPr>
            <w:r/>
          </w:p>
          <w:p>
            <w:pPr>
              <w:ind w:left="333"/>
              <w:spacing w:before="65" w:line="24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11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spacing w:line="352" w:lineRule="auto"/>
              <w:rPr/>
            </w:pPr>
            <w:r/>
          </w:p>
          <w:p>
            <w:pPr>
              <w:ind w:left="214" w:right="86" w:hanging="149"/>
              <w:spacing w:before="65" w:line="2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16:00-1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6:40</w:t>
            </w:r>
          </w:p>
        </w:tc>
        <w:tc>
          <w:tcPr>
            <w:tcW w:w="760" w:type="dxa"/>
            <w:vAlign w:val="top"/>
          </w:tcPr>
          <w:p>
            <w:pPr>
              <w:ind w:left="175"/>
              <w:spacing w:before="60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每半</w:t>
            </w:r>
          </w:p>
          <w:p>
            <w:pPr>
              <w:ind w:left="175"/>
              <w:spacing w:before="72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年付</w:t>
            </w:r>
          </w:p>
          <w:p>
            <w:pPr>
              <w:ind w:left="275" w:right="163" w:hanging="100"/>
              <w:spacing w:before="91" w:line="24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息一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</w:rPr>
              <w:t>次</w:t>
            </w:r>
          </w:p>
        </w:tc>
        <w:tc>
          <w:tcPr>
            <w:tcW w:w="1619" w:type="dxa"/>
            <w:vAlign w:val="top"/>
          </w:tcPr>
          <w:p>
            <w:pPr>
              <w:ind w:left="204" w:right="159" w:hanging="49"/>
              <w:spacing w:before="211" w:line="282" w:lineRule="auto"/>
              <w:jc w:val="both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存续期内6月27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日和12月27日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(节假日顺延)</w:t>
            </w:r>
          </w:p>
        </w:tc>
        <w:tc>
          <w:tcPr>
            <w:tcW w:w="2678" w:type="dxa"/>
            <w:vAlign w:val="top"/>
          </w:tcPr>
          <w:p>
            <w:pPr>
              <w:pStyle w:val="TableText"/>
              <w:spacing w:line="451" w:lineRule="auto"/>
              <w:rPr/>
            </w:pPr>
            <w:r/>
          </w:p>
          <w:p>
            <w:pPr>
              <w:ind w:left="437"/>
              <w:spacing w:before="65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到期一次性偿还本金</w:t>
            </w:r>
          </w:p>
        </w:tc>
        <w:tc>
          <w:tcPr>
            <w:tcW w:w="630" w:type="dxa"/>
            <w:vAlign w:val="top"/>
          </w:tcPr>
          <w:p>
            <w:pPr>
              <w:pStyle w:val="TableText"/>
              <w:spacing w:line="455" w:lineRule="auto"/>
              <w:rPr/>
            </w:pPr>
            <w:r/>
          </w:p>
          <w:p>
            <w:pPr>
              <w:ind w:left="109"/>
              <w:spacing w:before="6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同上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spacing w:line="455" w:lineRule="auto"/>
              <w:rPr/>
            </w:pPr>
            <w:r/>
          </w:p>
          <w:p>
            <w:pPr>
              <w:ind w:left="208"/>
              <w:spacing w:before="6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同上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spacing w:line="455" w:lineRule="auto"/>
              <w:rPr/>
            </w:pPr>
            <w:r/>
          </w:p>
          <w:p>
            <w:pPr>
              <w:ind w:left="209"/>
              <w:spacing w:before="6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同上</w:t>
            </w:r>
          </w:p>
        </w:tc>
      </w:tr>
      <w:tr>
        <w:trPr>
          <w:trHeight w:val="1258" w:hRule="atLeast"/>
        </w:trPr>
        <w:tc>
          <w:tcPr>
            <w:tcW w:w="675" w:type="dxa"/>
            <w:vAlign w:val="top"/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275"/>
              <w:spacing w:before="65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7</w:t>
            </w:r>
          </w:p>
        </w:tc>
        <w:tc>
          <w:tcPr>
            <w:tcW w:w="1309" w:type="dxa"/>
            <w:vAlign w:val="top"/>
          </w:tcPr>
          <w:p>
            <w:pPr>
              <w:ind w:left="39" w:right="48" w:firstLine="99"/>
              <w:spacing w:before="232" w:line="288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2024年深圳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市政府专项债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券(二十期)</w:t>
            </w:r>
          </w:p>
        </w:tc>
        <w:tc>
          <w:tcPr>
            <w:tcW w:w="1189" w:type="dxa"/>
            <w:vAlign w:val="top"/>
          </w:tcPr>
          <w:p>
            <w:pPr>
              <w:pStyle w:val="TableText"/>
              <w:spacing w:line="464" w:lineRule="auto"/>
              <w:rPr/>
            </w:pPr>
            <w:r/>
          </w:p>
          <w:p>
            <w:pPr>
              <w:ind w:left="80"/>
              <w:spacing w:before="65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24深圳债29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231"/>
              <w:spacing w:before="65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2405487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292"/>
              <w:spacing w:before="65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383"/>
              <w:spacing w:before="65" w:line="24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2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spacing w:line="344" w:lineRule="auto"/>
              <w:rPr/>
            </w:pPr>
            <w:r/>
          </w:p>
          <w:p>
            <w:pPr>
              <w:ind w:left="214" w:right="86" w:hanging="149"/>
              <w:spacing w:before="65" w:line="29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16:00-1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6:40</w:t>
            </w:r>
          </w:p>
        </w:tc>
        <w:tc>
          <w:tcPr>
            <w:tcW w:w="760" w:type="dxa"/>
            <w:vAlign w:val="top"/>
          </w:tcPr>
          <w:p>
            <w:pPr>
              <w:ind w:left="175"/>
              <w:spacing w:before="52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每半</w:t>
            </w:r>
          </w:p>
          <w:p>
            <w:pPr>
              <w:ind w:left="175"/>
              <w:spacing w:before="92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年付</w:t>
            </w:r>
          </w:p>
          <w:p>
            <w:pPr>
              <w:ind w:left="275" w:right="163" w:hanging="100"/>
              <w:spacing w:before="91" w:line="24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息一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</w:rPr>
              <w:t>次</w:t>
            </w:r>
          </w:p>
        </w:tc>
        <w:tc>
          <w:tcPr>
            <w:tcW w:w="1619" w:type="dxa"/>
            <w:vAlign w:val="top"/>
          </w:tcPr>
          <w:p>
            <w:pPr>
              <w:ind w:left="204" w:right="159" w:hanging="49"/>
              <w:spacing w:before="201" w:line="301" w:lineRule="auto"/>
              <w:jc w:val="both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存续期内6月27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日和12月27日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(节假日顺延)</w:t>
            </w:r>
          </w:p>
        </w:tc>
        <w:tc>
          <w:tcPr>
            <w:tcW w:w="2678" w:type="dxa"/>
            <w:vAlign w:val="top"/>
          </w:tcPr>
          <w:p>
            <w:pPr>
              <w:pStyle w:val="TableText"/>
              <w:spacing w:line="463" w:lineRule="auto"/>
              <w:rPr/>
            </w:pPr>
            <w:r/>
          </w:p>
          <w:p>
            <w:pPr>
              <w:ind w:left="437"/>
              <w:spacing w:before="65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到期一次性偿还本金</w:t>
            </w:r>
          </w:p>
        </w:tc>
        <w:tc>
          <w:tcPr>
            <w:tcW w:w="630" w:type="dxa"/>
            <w:vAlign w:val="top"/>
          </w:tcPr>
          <w:p>
            <w:pPr>
              <w:pStyle w:val="TableText"/>
              <w:spacing w:line="467" w:lineRule="auto"/>
              <w:rPr/>
            </w:pPr>
            <w:r/>
          </w:p>
          <w:p>
            <w:pPr>
              <w:ind w:left="109"/>
              <w:spacing w:before="6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同上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spacing w:line="467" w:lineRule="auto"/>
              <w:rPr/>
            </w:pPr>
            <w:r/>
          </w:p>
          <w:p>
            <w:pPr>
              <w:ind w:left="208"/>
              <w:spacing w:before="6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同上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spacing w:line="467" w:lineRule="auto"/>
              <w:rPr/>
            </w:pPr>
            <w:r/>
          </w:p>
          <w:p>
            <w:pPr>
              <w:ind w:left="209"/>
              <w:spacing w:before="6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同上</w:t>
            </w:r>
          </w:p>
        </w:tc>
      </w:tr>
      <w:tr>
        <w:trPr>
          <w:trHeight w:val="4380" w:hRule="atLeast"/>
        </w:trPr>
        <w:tc>
          <w:tcPr>
            <w:tcW w:w="675" w:type="dxa"/>
            <w:vAlign w:val="top"/>
          </w:tcPr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ind w:left="275"/>
              <w:spacing w:before="65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8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39" w:right="15" w:firstLine="99"/>
              <w:spacing w:before="65" w:line="29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2024年深圳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市政府专项债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券(二十一期)</w:t>
            </w:r>
          </w:p>
        </w:tc>
        <w:tc>
          <w:tcPr>
            <w:tcW w:w="1189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80"/>
              <w:spacing w:before="65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24深圳债30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ind w:left="231"/>
              <w:spacing w:before="65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2405488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ind w:left="292"/>
              <w:spacing w:before="65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20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ind w:left="383"/>
              <w:spacing w:before="65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5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spacing w:line="272" w:lineRule="auto"/>
              <w:rPr/>
            </w:pPr>
            <w:r/>
          </w:p>
          <w:p>
            <w:pPr>
              <w:pStyle w:val="TableText"/>
              <w:spacing w:line="272" w:lineRule="auto"/>
              <w:rPr/>
            </w:pPr>
            <w:r/>
          </w:p>
          <w:p>
            <w:pPr>
              <w:pStyle w:val="TableText"/>
              <w:spacing w:line="272" w:lineRule="auto"/>
              <w:rPr/>
            </w:pPr>
            <w:r/>
          </w:p>
          <w:p>
            <w:pPr>
              <w:pStyle w:val="TableText"/>
              <w:spacing w:line="272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ind w:left="214" w:right="86" w:hanging="149"/>
              <w:spacing w:before="65" w:line="30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16:00-1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6:40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ind w:left="175"/>
              <w:spacing w:before="65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每半</w:t>
            </w:r>
          </w:p>
          <w:p>
            <w:pPr>
              <w:ind w:left="175"/>
              <w:spacing w:before="72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年付</w:t>
            </w:r>
          </w:p>
          <w:p>
            <w:pPr>
              <w:ind w:left="275" w:right="163" w:hanging="100"/>
              <w:spacing w:before="111" w:line="27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息一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</w:rPr>
              <w:t>次</w:t>
            </w:r>
          </w:p>
        </w:tc>
        <w:tc>
          <w:tcPr>
            <w:tcW w:w="1619" w:type="dxa"/>
            <w:vAlign w:val="top"/>
          </w:tcPr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204" w:right="159" w:hanging="49"/>
              <w:spacing w:before="65" w:line="287" w:lineRule="auto"/>
              <w:jc w:val="both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存续期内6月27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日和12月27日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(节假日顺延)</w:t>
            </w:r>
          </w:p>
        </w:tc>
        <w:tc>
          <w:tcPr>
            <w:tcW w:w="2678" w:type="dxa"/>
            <w:vAlign w:val="top"/>
          </w:tcPr>
          <w:p>
            <w:pPr>
              <w:ind w:left="186"/>
              <w:spacing w:before="54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第1次：2035年6月27日(第</w:t>
            </w:r>
          </w:p>
          <w:p>
            <w:pPr>
              <w:ind w:left="136"/>
              <w:spacing w:before="79" w:line="21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22计息期),本次偿还金额占</w:t>
            </w:r>
          </w:p>
          <w:p>
            <w:pPr>
              <w:ind w:left="537"/>
              <w:spacing w:before="78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发行总额比例10%。</w:t>
            </w:r>
          </w:p>
          <w:p>
            <w:pPr>
              <w:ind w:left="186"/>
              <w:spacing w:before="62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第2次：2036年6月27日(第</w:t>
            </w:r>
          </w:p>
          <w:p>
            <w:pPr>
              <w:ind w:left="136"/>
              <w:spacing w:before="80" w:line="21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24计息期),本次偿还金额占</w:t>
            </w:r>
          </w:p>
          <w:p>
            <w:pPr>
              <w:ind w:left="537"/>
              <w:spacing w:before="89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发行总额比例10%。</w:t>
            </w:r>
          </w:p>
          <w:p>
            <w:pPr>
              <w:ind w:left="186"/>
              <w:spacing w:before="73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第3次：2037年6月27日(第</w:t>
            </w:r>
          </w:p>
          <w:p>
            <w:pPr>
              <w:ind w:left="136"/>
              <w:spacing w:before="100" w:line="21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26计息期),本次偿还金额占</w:t>
            </w:r>
          </w:p>
          <w:p>
            <w:pPr>
              <w:ind w:left="537"/>
              <w:spacing w:before="79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发行总额比例10%。</w:t>
            </w:r>
          </w:p>
          <w:p>
            <w:pPr>
              <w:ind w:left="186"/>
              <w:spacing w:before="72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第4次：2038年6月27日(第</w:t>
            </w:r>
          </w:p>
          <w:p>
            <w:pPr>
              <w:ind w:left="136"/>
              <w:spacing w:before="70" w:line="21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28计息期),本次偿还金额占</w:t>
            </w:r>
          </w:p>
          <w:p>
            <w:pPr>
              <w:ind w:left="537"/>
              <w:spacing w:before="89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发行总额比例10%。</w:t>
            </w:r>
          </w:p>
          <w:p>
            <w:pPr>
              <w:ind w:left="186"/>
              <w:spacing w:before="63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第5次：2039年6月27日(第</w:t>
            </w:r>
          </w:p>
          <w:p>
            <w:pPr>
              <w:ind w:left="136"/>
              <w:spacing w:before="70" w:line="21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30计息期),本次偿还金额占</w:t>
            </w:r>
          </w:p>
        </w:tc>
        <w:tc>
          <w:tcPr>
            <w:tcW w:w="630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109"/>
              <w:spacing w:before="6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同上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208"/>
              <w:spacing w:before="6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同上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209"/>
              <w:spacing w:before="6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同上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8"/>
          <w:pgSz w:w="16830" w:h="11920"/>
          <w:pgMar w:top="1013" w:right="1325" w:bottom="1064" w:left="1285" w:header="0" w:footer="740" w:gutter="0"/>
        </w:sectPr>
        <w:rPr/>
      </w:pPr>
    </w:p>
    <w:p>
      <w:pPr>
        <w:spacing w:before="49"/>
        <w:rPr/>
      </w:pPr>
      <w:r/>
    </w:p>
    <w:p>
      <w:pPr>
        <w:spacing w:before="49"/>
        <w:rPr/>
      </w:pPr>
      <w:r/>
    </w:p>
    <w:p>
      <w:pPr>
        <w:spacing w:before="49"/>
        <w:rPr/>
      </w:pPr>
      <w:r/>
    </w:p>
    <w:tbl>
      <w:tblPr>
        <w:tblStyle w:val="TableNormal"/>
        <w:tblW w:w="141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65"/>
        <w:gridCol w:w="1319"/>
        <w:gridCol w:w="1199"/>
        <w:gridCol w:w="1179"/>
        <w:gridCol w:w="799"/>
        <w:gridCol w:w="870"/>
        <w:gridCol w:w="839"/>
        <w:gridCol w:w="749"/>
        <w:gridCol w:w="1619"/>
        <w:gridCol w:w="2678"/>
        <w:gridCol w:w="630"/>
        <w:gridCol w:w="839"/>
        <w:gridCol w:w="814"/>
      </w:tblGrid>
      <w:tr>
        <w:trPr>
          <w:trHeight w:val="4998" w:hRule="atLeast"/>
        </w:trPr>
        <w:tc>
          <w:tcPr>
            <w:tcW w:w="6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8" w:type="dxa"/>
            <w:vAlign w:val="top"/>
          </w:tcPr>
          <w:p>
            <w:pPr>
              <w:ind w:left="497"/>
              <w:spacing w:before="43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发行总额比例10%。</w:t>
            </w:r>
          </w:p>
          <w:p>
            <w:pPr>
              <w:ind w:left="126"/>
              <w:spacing w:before="60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第6次：2040年6月27日(第</w:t>
            </w:r>
          </w:p>
          <w:p>
            <w:pPr>
              <w:ind w:left="76"/>
              <w:spacing w:before="4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32计息期),本次偿还金额占</w:t>
            </w:r>
          </w:p>
          <w:p>
            <w:pPr>
              <w:ind w:left="497"/>
              <w:spacing w:before="97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发行总额比例10%。</w:t>
            </w:r>
          </w:p>
          <w:p>
            <w:pPr>
              <w:ind w:left="126"/>
              <w:spacing w:before="61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第7次：2041年6月27日(第</w:t>
            </w:r>
          </w:p>
          <w:p>
            <w:pPr>
              <w:ind w:left="76"/>
              <w:spacing w:before="38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34计息期),本次偿还金额占</w:t>
            </w:r>
          </w:p>
          <w:p>
            <w:pPr>
              <w:ind w:left="497"/>
              <w:spacing w:before="77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发行总额比例10%。</w:t>
            </w:r>
          </w:p>
          <w:p>
            <w:pPr>
              <w:ind w:left="126"/>
              <w:spacing w:before="61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第8次：2042年6月27日(第</w:t>
            </w:r>
          </w:p>
          <w:p>
            <w:pPr>
              <w:ind w:left="76"/>
              <w:spacing w:before="68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36计息期),本次偿还金额占</w:t>
            </w:r>
          </w:p>
          <w:p>
            <w:pPr>
              <w:ind w:left="497"/>
              <w:spacing w:before="77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发行总额比例10%。</w:t>
            </w:r>
          </w:p>
          <w:p>
            <w:pPr>
              <w:ind w:left="126"/>
              <w:spacing w:before="41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第9次：2043年6月27日(第</w:t>
            </w:r>
          </w:p>
          <w:p>
            <w:pPr>
              <w:ind w:left="76"/>
              <w:spacing w:before="68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38计息期),本次偿还金额占</w:t>
            </w:r>
          </w:p>
          <w:p>
            <w:pPr>
              <w:ind w:left="497"/>
              <w:spacing w:before="98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发行总额比例10%。</w:t>
            </w:r>
          </w:p>
          <w:p>
            <w:pPr>
              <w:ind w:left="76"/>
              <w:spacing w:before="40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第10次：2044年6月27日(第</w:t>
            </w:r>
          </w:p>
          <w:p>
            <w:pPr>
              <w:ind w:left="76"/>
              <w:spacing w:before="58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40计息期),本次偿还金额占</w:t>
            </w:r>
          </w:p>
          <w:p>
            <w:pPr>
              <w:ind w:left="497"/>
              <w:spacing w:before="78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发行总额比例10%。</w:t>
            </w:r>
          </w:p>
        </w:tc>
        <w:tc>
          <w:tcPr>
            <w:tcW w:w="6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31" w:hRule="atLeast"/>
        </w:trPr>
        <w:tc>
          <w:tcPr>
            <w:tcW w:w="665" w:type="dxa"/>
            <w:vAlign w:val="top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244"/>
              <w:spacing w:before="68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9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20" w:firstLine="98"/>
              <w:spacing w:before="69" w:line="27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2024年深圳 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市政府专项债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券(二十二期)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spacing w:line="277" w:lineRule="auto"/>
              <w:rPr/>
            </w:pPr>
            <w:r/>
          </w:p>
          <w:p>
            <w:pPr>
              <w:pStyle w:val="TableText"/>
              <w:spacing w:line="277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ind w:left="91"/>
              <w:spacing w:before="69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24深圳债31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261"/>
              <w:spacing w:before="68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2405489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282"/>
              <w:spacing w:before="68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30</w:t>
            </w:r>
          </w:p>
        </w:tc>
        <w:tc>
          <w:tcPr>
            <w:tcW w:w="870" w:type="dxa"/>
            <w:vAlign w:val="top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ind w:right="10"/>
              <w:spacing w:before="68" w:line="239" w:lineRule="auto"/>
              <w:jc w:val="right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21.4972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ind w:left="204" w:right="73" w:hanging="160"/>
              <w:spacing w:before="69" w:line="2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16:00-1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6:40</w:t>
            </w:r>
          </w:p>
        </w:tc>
        <w:tc>
          <w:tcPr>
            <w:tcW w:w="749" w:type="dxa"/>
            <w:vAlign w:val="top"/>
          </w:tcPr>
          <w:p>
            <w:pPr>
              <w:pStyle w:val="TableText"/>
              <w:spacing w:line="307" w:lineRule="auto"/>
              <w:rPr/>
            </w:pPr>
            <w:r/>
          </w:p>
          <w:p>
            <w:pPr>
              <w:pStyle w:val="TableText"/>
              <w:spacing w:line="307" w:lineRule="auto"/>
              <w:rPr/>
            </w:pPr>
            <w:r/>
          </w:p>
          <w:p>
            <w:pPr>
              <w:pStyle w:val="TableText"/>
              <w:spacing w:line="307" w:lineRule="auto"/>
              <w:rPr/>
            </w:pPr>
            <w:r/>
          </w:p>
          <w:p>
            <w:pPr>
              <w:ind w:left="155"/>
              <w:spacing w:before="69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每半</w:t>
            </w:r>
          </w:p>
          <w:p>
            <w:pPr>
              <w:ind w:left="155"/>
              <w:spacing w:before="60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年付</w:t>
            </w:r>
          </w:p>
          <w:p>
            <w:pPr>
              <w:ind w:left="155"/>
              <w:spacing w:before="79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息一</w:t>
            </w:r>
          </w:p>
          <w:p>
            <w:pPr>
              <w:ind w:left="264"/>
              <w:spacing w:before="42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次</w:t>
            </w:r>
          </w:p>
        </w:tc>
        <w:tc>
          <w:tcPr>
            <w:tcW w:w="1619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75" w:right="110" w:hanging="60"/>
              <w:spacing w:before="68" w:line="282" w:lineRule="auto"/>
              <w:jc w:val="both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存续期内6月27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日和12月27日 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(节假日顺延)</w:t>
            </w:r>
          </w:p>
        </w:tc>
        <w:tc>
          <w:tcPr>
            <w:tcW w:w="2678" w:type="dxa"/>
            <w:vAlign w:val="top"/>
          </w:tcPr>
          <w:p>
            <w:pPr>
              <w:ind w:left="126"/>
              <w:spacing w:before="25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第1次：2045年6月27日(第</w:t>
            </w:r>
          </w:p>
          <w:p>
            <w:pPr>
              <w:ind w:left="76"/>
              <w:spacing w:before="67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42计息期),本次偿还金额占</w:t>
            </w:r>
          </w:p>
          <w:p>
            <w:pPr>
              <w:ind w:left="497"/>
              <w:spacing w:before="77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发行总额比例10%。</w:t>
            </w:r>
          </w:p>
          <w:p>
            <w:pPr>
              <w:ind w:left="126"/>
              <w:spacing w:before="50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第2次：2046年6月27日(第</w:t>
            </w:r>
          </w:p>
          <w:p>
            <w:pPr>
              <w:ind w:left="76"/>
              <w:spacing w:before="88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44计息期),本次偿还金额占</w:t>
            </w:r>
          </w:p>
          <w:p>
            <w:pPr>
              <w:ind w:left="497"/>
              <w:spacing w:before="67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发行总额比例10%。</w:t>
            </w:r>
          </w:p>
          <w:p>
            <w:pPr>
              <w:ind w:left="126"/>
              <w:spacing w:before="51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第3次：2047年6月27日(第</w:t>
            </w:r>
          </w:p>
          <w:p>
            <w:pPr>
              <w:ind w:left="76"/>
              <w:spacing w:before="68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46计息期),本次偿还金额占</w:t>
            </w:r>
          </w:p>
          <w:p>
            <w:pPr>
              <w:ind w:left="497"/>
              <w:spacing w:before="88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发行总额比例10%。</w:t>
            </w:r>
          </w:p>
          <w:p>
            <w:pPr>
              <w:ind w:left="126"/>
              <w:spacing w:before="50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第4次：2048年6月27日(第</w:t>
            </w:r>
          </w:p>
        </w:tc>
        <w:tc>
          <w:tcPr>
            <w:tcW w:w="630" w:type="dxa"/>
            <w:vAlign w:val="top"/>
          </w:tcPr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128"/>
              <w:spacing w:before="6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同上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229"/>
              <w:spacing w:before="6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同上</w:t>
            </w:r>
          </w:p>
        </w:tc>
        <w:tc>
          <w:tcPr>
            <w:tcW w:w="814" w:type="dxa"/>
            <w:vAlign w:val="top"/>
          </w:tcPr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219"/>
              <w:spacing w:before="6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同上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9"/>
          <w:pgSz w:w="16830" w:h="11920"/>
          <w:pgMar w:top="1013" w:right="1405" w:bottom="894" w:left="1215" w:header="0" w:footer="570" w:gutter="0"/>
        </w:sectPr>
        <w:rPr/>
      </w:pPr>
    </w:p>
    <w:p>
      <w:pPr>
        <w:spacing w:before="39"/>
        <w:rPr/>
      </w:pPr>
      <w:r/>
    </w:p>
    <w:p>
      <w:pPr>
        <w:spacing w:before="39"/>
        <w:rPr/>
      </w:pPr>
      <w:r/>
    </w:p>
    <w:p>
      <w:pPr>
        <w:spacing w:before="39"/>
        <w:rPr/>
      </w:pPr>
      <w:r/>
    </w:p>
    <w:tbl>
      <w:tblPr>
        <w:tblStyle w:val="TableNormal"/>
        <w:tblW w:w="142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64"/>
        <w:gridCol w:w="1319"/>
        <w:gridCol w:w="1189"/>
        <w:gridCol w:w="1179"/>
        <w:gridCol w:w="800"/>
        <w:gridCol w:w="879"/>
        <w:gridCol w:w="839"/>
        <w:gridCol w:w="760"/>
        <w:gridCol w:w="1609"/>
        <w:gridCol w:w="2688"/>
        <w:gridCol w:w="630"/>
        <w:gridCol w:w="829"/>
        <w:gridCol w:w="824"/>
      </w:tblGrid>
      <w:tr>
        <w:trPr>
          <w:trHeight w:val="6260" w:hRule="atLeast"/>
        </w:trPr>
        <w:tc>
          <w:tcPr>
            <w:tcW w:w="6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88" w:type="dxa"/>
            <w:vAlign w:val="top"/>
          </w:tcPr>
          <w:p>
            <w:pPr>
              <w:ind w:left="137"/>
              <w:spacing w:before="50" w:line="21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48计息期),本次偿还金额占</w:t>
            </w:r>
          </w:p>
          <w:p>
            <w:pPr>
              <w:ind w:left="536"/>
              <w:spacing w:before="68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发行总额比例10%。</w:t>
            </w:r>
          </w:p>
          <w:p>
            <w:pPr>
              <w:ind w:left="187"/>
              <w:spacing w:before="82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第5次：2049年6月27日(第</w:t>
            </w:r>
          </w:p>
          <w:p>
            <w:pPr>
              <w:ind w:left="137"/>
              <w:spacing w:before="89" w:line="21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50计息期),本次偿还金额占</w:t>
            </w:r>
          </w:p>
          <w:p>
            <w:pPr>
              <w:ind w:left="536"/>
              <w:spacing w:before="69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发行总额比例10%。</w:t>
            </w:r>
          </w:p>
          <w:p>
            <w:pPr>
              <w:ind w:left="187"/>
              <w:spacing w:before="93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第6次：2050年6月27日(第</w:t>
            </w:r>
          </w:p>
          <w:p>
            <w:pPr>
              <w:ind w:left="137"/>
              <w:spacing w:before="70" w:line="21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52计息期),本次偿还金额占</w:t>
            </w:r>
          </w:p>
          <w:p>
            <w:pPr>
              <w:ind w:left="536"/>
              <w:spacing w:before="59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发行总额比例10%。</w:t>
            </w:r>
          </w:p>
          <w:p>
            <w:pPr>
              <w:ind w:left="187"/>
              <w:spacing w:before="83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第7次：2051年6月27日(第</w:t>
            </w:r>
          </w:p>
          <w:p>
            <w:pPr>
              <w:ind w:left="137"/>
              <w:spacing w:before="69" w:line="21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54计息期),本次偿还金额占</w:t>
            </w:r>
          </w:p>
          <w:p>
            <w:pPr>
              <w:ind w:left="536"/>
              <w:spacing w:before="69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发行总额比例10%。</w:t>
            </w:r>
          </w:p>
          <w:p>
            <w:pPr>
              <w:ind w:left="187"/>
              <w:spacing w:before="93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第8次：2052年6月27日(第</w:t>
            </w:r>
          </w:p>
          <w:p>
            <w:pPr>
              <w:ind w:left="137"/>
              <w:spacing w:before="80" w:line="21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56计息期),本次偿还金额占</w:t>
            </w:r>
          </w:p>
          <w:p>
            <w:pPr>
              <w:ind w:left="536"/>
              <w:spacing w:before="59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发行总额比例10%。</w:t>
            </w:r>
          </w:p>
          <w:p>
            <w:pPr>
              <w:ind w:left="187"/>
              <w:spacing w:before="83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第9次：2053年6月27日(第</w:t>
            </w:r>
          </w:p>
          <w:p>
            <w:pPr>
              <w:ind w:left="137"/>
              <w:spacing w:before="90" w:line="21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58计息期),本次偿还金额占</w:t>
            </w:r>
          </w:p>
          <w:p>
            <w:pPr>
              <w:ind w:left="536"/>
              <w:spacing w:before="68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发行总额比例10%。</w:t>
            </w:r>
          </w:p>
          <w:p>
            <w:pPr>
              <w:ind w:left="137"/>
              <w:spacing w:before="93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第10次：2054年6月27日(第</w:t>
            </w:r>
          </w:p>
          <w:p>
            <w:pPr>
              <w:ind w:left="137"/>
              <w:spacing w:before="70" w:line="21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60计息期),本次偿还金额占</w:t>
            </w:r>
          </w:p>
          <w:p>
            <w:pPr>
              <w:ind w:left="536"/>
              <w:spacing w:before="69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发行总额比例10%。</w:t>
            </w:r>
          </w:p>
        </w:tc>
        <w:tc>
          <w:tcPr>
            <w:tcW w:w="6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10"/>
          <w:pgSz w:w="16830" w:h="11920"/>
          <w:pgMar w:top="1013" w:right="1375" w:bottom="1066" w:left="1235" w:header="0" w:footer="741" w:gutter="0"/>
        </w:sectPr>
        <w:rPr/>
      </w:pPr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spacing w:before="100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17"/>
        </w:rPr>
        <w:t>附</w:t>
      </w:r>
      <w:r>
        <w:rPr>
          <w:rFonts w:ascii="SimHei" w:hAnsi="SimHei" w:eastAsia="SimHei" w:cs="SimHei"/>
          <w:sz w:val="31"/>
          <w:szCs w:val="31"/>
          <w:spacing w:val="-73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17"/>
        </w:rPr>
        <w:t>件</w:t>
      </w:r>
      <w:r>
        <w:rPr>
          <w:rFonts w:ascii="SimHei" w:hAnsi="SimHei" w:eastAsia="SimHei" w:cs="SimHei"/>
          <w:sz w:val="31"/>
          <w:szCs w:val="31"/>
          <w:spacing w:val="-73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17"/>
        </w:rPr>
        <w:t>2</w:t>
      </w:r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3560" w:right="588" w:hanging="2699"/>
        <w:spacing w:before="143" w:line="235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</w:rPr>
        <w:t>2024—2026年深圳市政府债券承销团</w:t>
      </w:r>
      <w:r>
        <w:rPr>
          <w:rFonts w:ascii="SimSun" w:hAnsi="SimSun" w:eastAsia="SimSun" w:cs="SimSun"/>
          <w:sz w:val="44"/>
          <w:szCs w:val="44"/>
          <w:spacing w:val="13"/>
        </w:rPr>
        <w:t xml:space="preserve"> </w:t>
      </w:r>
      <w:r>
        <w:rPr>
          <w:rFonts w:ascii="SimSun" w:hAnsi="SimSun" w:eastAsia="SimSun" w:cs="SimSun"/>
          <w:sz w:val="44"/>
          <w:szCs w:val="44"/>
          <w:b/>
          <w:bCs/>
          <w:spacing w:val="-4"/>
        </w:rPr>
        <w:t>成员名单</w:t>
      </w:r>
    </w:p>
    <w:p>
      <w:pPr>
        <w:pStyle w:val="BodyText"/>
        <w:spacing w:line="296" w:lineRule="auto"/>
        <w:rPr/>
      </w:pPr>
      <w:r/>
    </w:p>
    <w:p>
      <w:pPr>
        <w:pStyle w:val="BodyText"/>
        <w:spacing w:line="297" w:lineRule="auto"/>
        <w:rPr/>
      </w:pPr>
      <w:r/>
    </w:p>
    <w:p>
      <w:pPr>
        <w:ind w:left="819"/>
        <w:spacing w:before="101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7"/>
        </w:rPr>
        <w:t>一</w:t>
      </w:r>
      <w:r>
        <w:rPr>
          <w:rFonts w:ascii="SimHei" w:hAnsi="SimHei" w:eastAsia="SimHei" w:cs="SimHei"/>
          <w:sz w:val="31"/>
          <w:szCs w:val="31"/>
          <w:spacing w:val="-85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7"/>
        </w:rPr>
        <w:t>、银行机构</w:t>
      </w:r>
    </w:p>
    <w:p>
      <w:pPr>
        <w:pStyle w:val="BodyText"/>
        <w:spacing w:line="276" w:lineRule="auto"/>
        <w:rPr/>
      </w:pPr>
      <w:r/>
    </w:p>
    <w:p>
      <w:pPr>
        <w:ind w:left="905"/>
        <w:spacing w:before="100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</w:rPr>
        <w:t>1.</w:t>
      </w:r>
      <w:r>
        <w:rPr>
          <w:rFonts w:ascii="SimSun" w:hAnsi="SimSun" w:eastAsia="SimSun" w:cs="SimSun"/>
          <w:sz w:val="31"/>
          <w:szCs w:val="31"/>
          <w:spacing w:val="1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上海浦东发展银行股份有限公司</w:t>
      </w:r>
    </w:p>
    <w:p>
      <w:pPr>
        <w:pStyle w:val="BodyText"/>
        <w:spacing w:line="306" w:lineRule="auto"/>
        <w:rPr/>
      </w:pPr>
      <w:r/>
    </w:p>
    <w:p>
      <w:pPr>
        <w:ind w:left="915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2.</w:t>
      </w:r>
      <w:r>
        <w:rPr>
          <w:rFonts w:ascii="SimSun" w:hAnsi="SimSun" w:eastAsia="SimSun" w:cs="SimSun"/>
          <w:sz w:val="31"/>
          <w:szCs w:val="31"/>
          <w:spacing w:val="7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上海银行股份有限公司</w:t>
      </w:r>
    </w:p>
    <w:p>
      <w:pPr>
        <w:pStyle w:val="BodyText"/>
        <w:spacing w:line="296" w:lineRule="auto"/>
        <w:rPr/>
      </w:pPr>
      <w:r/>
    </w:p>
    <w:p>
      <w:pPr>
        <w:ind w:left="915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0"/>
        </w:rPr>
        <w:t>3. </w:t>
      </w:r>
      <w:r>
        <w:rPr>
          <w:rFonts w:ascii="FangSong" w:hAnsi="FangSong" w:eastAsia="FangSong" w:cs="FangSong"/>
          <w:sz w:val="31"/>
          <w:szCs w:val="31"/>
          <w:spacing w:val="10"/>
        </w:rPr>
        <w:t>广东华兴银行股份有限公司</w:t>
      </w:r>
    </w:p>
    <w:p>
      <w:pPr>
        <w:pStyle w:val="BodyText"/>
        <w:spacing w:line="316" w:lineRule="auto"/>
        <w:rPr/>
      </w:pPr>
      <w:r/>
    </w:p>
    <w:p>
      <w:pPr>
        <w:ind w:left="915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4.</w:t>
      </w:r>
      <w:r>
        <w:rPr>
          <w:rFonts w:ascii="SimSun" w:hAnsi="SimSun" w:eastAsia="SimSun" w:cs="SimSun"/>
          <w:sz w:val="31"/>
          <w:szCs w:val="31"/>
          <w:spacing w:val="7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广发银行股份有限公司</w:t>
      </w:r>
    </w:p>
    <w:p>
      <w:pPr>
        <w:pStyle w:val="BodyText"/>
        <w:spacing w:line="316" w:lineRule="auto"/>
        <w:rPr/>
      </w:pPr>
      <w:r/>
    </w:p>
    <w:p>
      <w:pPr>
        <w:ind w:left="915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5.</w:t>
      </w:r>
      <w:r>
        <w:rPr>
          <w:rFonts w:ascii="SimSun" w:hAnsi="SimSun" w:eastAsia="SimSun" w:cs="SimSun"/>
          <w:sz w:val="31"/>
          <w:szCs w:val="31"/>
          <w:spacing w:val="8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广州银行股份有限公司</w:t>
      </w:r>
    </w:p>
    <w:p>
      <w:pPr>
        <w:pStyle w:val="BodyText"/>
        <w:spacing w:line="306" w:lineRule="auto"/>
        <w:rPr/>
      </w:pPr>
      <w:r/>
    </w:p>
    <w:p>
      <w:pPr>
        <w:ind w:left="915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6.</w:t>
      </w:r>
      <w:r>
        <w:rPr>
          <w:rFonts w:ascii="SimSun" w:hAnsi="SimSun" w:eastAsia="SimSun" w:cs="SimSun"/>
          <w:sz w:val="31"/>
          <w:szCs w:val="31"/>
          <w:spacing w:val="1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天津银行股份有限公司</w:t>
      </w:r>
    </w:p>
    <w:p>
      <w:pPr>
        <w:pStyle w:val="BodyText"/>
        <w:spacing w:line="326" w:lineRule="auto"/>
        <w:rPr/>
      </w:pPr>
      <w:r/>
    </w:p>
    <w:p>
      <w:pPr>
        <w:ind w:left="915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0"/>
        </w:rPr>
        <w:t>7. </w:t>
      </w:r>
      <w:r>
        <w:rPr>
          <w:rFonts w:ascii="FangSong" w:hAnsi="FangSong" w:eastAsia="FangSong" w:cs="FangSong"/>
          <w:sz w:val="31"/>
          <w:szCs w:val="31"/>
          <w:spacing w:val="10"/>
        </w:rPr>
        <w:t>中国工商银行股份有限公司</w:t>
      </w:r>
    </w:p>
    <w:p>
      <w:pPr>
        <w:pStyle w:val="BodyText"/>
        <w:spacing w:line="296" w:lineRule="auto"/>
        <w:rPr/>
      </w:pPr>
      <w:r/>
    </w:p>
    <w:p>
      <w:pPr>
        <w:ind w:left="915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8.</w:t>
      </w:r>
      <w:r>
        <w:rPr>
          <w:rFonts w:ascii="SimSun" w:hAnsi="SimSun" w:eastAsia="SimSun" w:cs="SimSun"/>
          <w:sz w:val="31"/>
          <w:szCs w:val="31"/>
          <w:spacing w:val="1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中国民生银行股份有限公司</w:t>
      </w:r>
    </w:p>
    <w:p>
      <w:pPr>
        <w:spacing w:line="221" w:lineRule="auto"/>
        <w:sectPr>
          <w:footerReference w:type="default" r:id="rId11"/>
          <w:pgSz w:w="11920" w:h="16830"/>
          <w:pgMar w:top="1430" w:right="1788" w:bottom="1524" w:left="1534" w:header="0" w:footer="1187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322" w:lineRule="auto"/>
        <w:rPr/>
      </w:pPr>
      <w:r/>
    </w:p>
    <w:p>
      <w:pPr>
        <w:pStyle w:val="BodyText"/>
        <w:spacing w:line="322" w:lineRule="auto"/>
        <w:rPr/>
      </w:pPr>
      <w:r/>
    </w:p>
    <w:p>
      <w:pPr>
        <w:ind w:left="646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b/>
          <w:bCs/>
          <w:spacing w:val="-3"/>
        </w:rPr>
        <w:t>9.</w:t>
      </w:r>
      <w:r>
        <w:rPr>
          <w:rFonts w:ascii="SimSun" w:hAnsi="SimSun" w:eastAsia="SimSun" w:cs="SimSun"/>
          <w:sz w:val="32"/>
          <w:szCs w:val="32"/>
          <w:spacing w:val="58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3"/>
        </w:rPr>
        <w:t>中国光大银行股份有限公司</w:t>
      </w:r>
    </w:p>
    <w:p>
      <w:pPr>
        <w:pStyle w:val="BodyText"/>
        <w:spacing w:line="281" w:lineRule="auto"/>
        <w:rPr/>
      </w:pPr>
      <w:r/>
    </w:p>
    <w:p>
      <w:pPr>
        <w:ind w:left="496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b/>
          <w:bCs/>
          <w:spacing w:val="-7"/>
        </w:rPr>
        <w:t>10.</w:t>
      </w:r>
      <w:r>
        <w:rPr>
          <w:rFonts w:ascii="SimSun" w:hAnsi="SimSun" w:eastAsia="SimSun" w:cs="SimSun"/>
          <w:sz w:val="32"/>
          <w:szCs w:val="32"/>
          <w:spacing w:val="69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7"/>
        </w:rPr>
        <w:t>中国农业银行股份有限公司</w:t>
      </w:r>
    </w:p>
    <w:p>
      <w:pPr>
        <w:pStyle w:val="BodyText"/>
        <w:spacing w:line="315" w:lineRule="auto"/>
        <w:rPr/>
      </w:pPr>
      <w:r/>
    </w:p>
    <w:p>
      <w:pPr>
        <w:ind w:left="492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"/>
        </w:rPr>
        <w:t>11.</w:t>
      </w:r>
      <w:r>
        <w:rPr>
          <w:rFonts w:ascii="SimSun" w:hAnsi="SimSun" w:eastAsia="SimSun" w:cs="SimSun"/>
          <w:sz w:val="32"/>
          <w:szCs w:val="32"/>
          <w:spacing w:val="4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中国建设银行股份有限公司</w:t>
      </w:r>
    </w:p>
    <w:p>
      <w:pPr>
        <w:pStyle w:val="BodyText"/>
        <w:spacing w:line="301" w:lineRule="auto"/>
        <w:rPr/>
      </w:pPr>
      <w:r/>
    </w:p>
    <w:p>
      <w:pPr>
        <w:ind w:left="492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"/>
        </w:rPr>
        <w:t>12.</w:t>
      </w:r>
      <w:r>
        <w:rPr>
          <w:rFonts w:ascii="SimSun" w:hAnsi="SimSun" w:eastAsia="SimSun" w:cs="SimSun"/>
          <w:sz w:val="32"/>
          <w:szCs w:val="32"/>
          <w:spacing w:val="3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中国银行股份有限公司</w:t>
      </w:r>
    </w:p>
    <w:p>
      <w:pPr>
        <w:pStyle w:val="BodyText"/>
        <w:spacing w:line="301" w:lineRule="auto"/>
        <w:rPr/>
      </w:pPr>
      <w:r/>
    </w:p>
    <w:p>
      <w:pPr>
        <w:ind w:left="492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6"/>
        </w:rPr>
        <w:t>13.</w:t>
      </w:r>
      <w:r>
        <w:rPr>
          <w:rFonts w:ascii="SimSun" w:hAnsi="SimSun" w:eastAsia="SimSun" w:cs="SimSun"/>
          <w:sz w:val="32"/>
          <w:szCs w:val="32"/>
          <w:spacing w:val="7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中信银行股份有限公司</w:t>
      </w:r>
    </w:p>
    <w:p>
      <w:pPr>
        <w:pStyle w:val="BodyText"/>
        <w:spacing w:line="291" w:lineRule="auto"/>
        <w:rPr/>
      </w:pPr>
      <w:r/>
    </w:p>
    <w:p>
      <w:pPr>
        <w:ind w:left="492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14.</w:t>
      </w:r>
      <w:r>
        <w:rPr>
          <w:rFonts w:ascii="SimSun" w:hAnsi="SimSun" w:eastAsia="SimSun" w:cs="SimSun"/>
          <w:sz w:val="32"/>
          <w:szCs w:val="32"/>
          <w:spacing w:val="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中原银行股份有限公司</w:t>
      </w:r>
    </w:p>
    <w:p>
      <w:pPr>
        <w:pStyle w:val="BodyText"/>
        <w:spacing w:line="291" w:lineRule="auto"/>
        <w:rPr/>
      </w:pPr>
      <w:r/>
    </w:p>
    <w:p>
      <w:pPr>
        <w:ind w:left="492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15.</w:t>
      </w:r>
      <w:r>
        <w:rPr>
          <w:rFonts w:ascii="SimSun" w:hAnsi="SimSun" w:eastAsia="SimSun" w:cs="SimSun"/>
          <w:sz w:val="32"/>
          <w:szCs w:val="32"/>
          <w:spacing w:val="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平安银行股份有限公司</w:t>
      </w:r>
    </w:p>
    <w:p>
      <w:pPr>
        <w:pStyle w:val="BodyText"/>
        <w:spacing w:line="291" w:lineRule="auto"/>
        <w:rPr/>
      </w:pPr>
      <w:r/>
    </w:p>
    <w:p>
      <w:pPr>
        <w:ind w:left="492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16.</w:t>
      </w:r>
      <w:r>
        <w:rPr>
          <w:rFonts w:ascii="SimSun" w:hAnsi="SimSun" w:eastAsia="SimSun" w:cs="SimSun"/>
          <w:sz w:val="32"/>
          <w:szCs w:val="32"/>
          <w:spacing w:val="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北京银行股份有限公司</w:t>
      </w:r>
    </w:p>
    <w:p>
      <w:pPr>
        <w:pStyle w:val="BodyText"/>
        <w:spacing w:line="310" w:lineRule="auto"/>
        <w:rPr/>
      </w:pPr>
      <w:r/>
    </w:p>
    <w:p>
      <w:pPr>
        <w:ind w:left="492"/>
        <w:spacing w:before="105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</w:rPr>
        <w:t>17.</w:t>
      </w:r>
      <w:r>
        <w:rPr>
          <w:rFonts w:ascii="SimSun" w:hAnsi="SimSun" w:eastAsia="SimSun" w:cs="SimSun"/>
          <w:sz w:val="32"/>
          <w:szCs w:val="32"/>
          <w:spacing w:val="72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宁波银行股份有限公司</w:t>
      </w:r>
    </w:p>
    <w:p>
      <w:pPr>
        <w:pStyle w:val="BodyText"/>
        <w:spacing w:line="291" w:lineRule="auto"/>
        <w:rPr/>
      </w:pPr>
      <w:r/>
    </w:p>
    <w:p>
      <w:pPr>
        <w:ind w:left="492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18.</w:t>
      </w:r>
      <w:r>
        <w:rPr>
          <w:rFonts w:ascii="SimSun" w:hAnsi="SimSun" w:eastAsia="SimSun" w:cs="SimSun"/>
          <w:sz w:val="32"/>
          <w:szCs w:val="32"/>
          <w:spacing w:val="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成都银行股份有限公司</w:t>
      </w:r>
    </w:p>
    <w:p>
      <w:pPr>
        <w:pStyle w:val="BodyText"/>
        <w:spacing w:line="291" w:lineRule="auto"/>
        <w:rPr/>
      </w:pPr>
      <w:r/>
    </w:p>
    <w:p>
      <w:pPr>
        <w:ind w:left="492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19.</w:t>
      </w:r>
      <w:r>
        <w:rPr>
          <w:rFonts w:ascii="SimSun" w:hAnsi="SimSun" w:eastAsia="SimSun" w:cs="SimSun"/>
          <w:sz w:val="32"/>
          <w:szCs w:val="32"/>
          <w:spacing w:val="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华夏银行股份有限公司</w:t>
      </w:r>
    </w:p>
    <w:p>
      <w:pPr>
        <w:pStyle w:val="BodyText"/>
        <w:spacing w:line="301" w:lineRule="auto"/>
        <w:rPr/>
      </w:pPr>
      <w:r/>
    </w:p>
    <w:p>
      <w:pPr>
        <w:ind w:left="492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</w:rPr>
        <w:t>20.</w:t>
      </w:r>
      <w:r>
        <w:rPr>
          <w:rFonts w:ascii="SimSun" w:hAnsi="SimSun" w:eastAsia="SimSun" w:cs="SimSun"/>
          <w:sz w:val="32"/>
          <w:szCs w:val="32"/>
          <w:spacing w:val="52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交通银行股份有限公司</w:t>
      </w:r>
    </w:p>
    <w:p>
      <w:pPr>
        <w:pStyle w:val="BodyText"/>
        <w:spacing w:line="301" w:lineRule="auto"/>
        <w:rPr/>
      </w:pPr>
      <w:r/>
    </w:p>
    <w:p>
      <w:pPr>
        <w:ind w:left="492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</w:rPr>
        <w:t>21.</w:t>
      </w:r>
      <w:r>
        <w:rPr>
          <w:rFonts w:ascii="SimSun" w:hAnsi="SimSun" w:eastAsia="SimSun" w:cs="SimSun"/>
          <w:sz w:val="32"/>
          <w:szCs w:val="32"/>
          <w:spacing w:val="52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江苏银行股份有限公司</w:t>
      </w:r>
    </w:p>
    <w:p>
      <w:pPr>
        <w:pStyle w:val="BodyText"/>
        <w:spacing w:line="301" w:lineRule="auto"/>
        <w:rPr/>
      </w:pPr>
      <w:r/>
    </w:p>
    <w:p>
      <w:pPr>
        <w:ind w:left="492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2"/>
        </w:rPr>
        <w:t>22.</w:t>
      </w:r>
      <w:r>
        <w:rPr>
          <w:rFonts w:ascii="SimSun" w:hAnsi="SimSun" w:eastAsia="SimSun" w:cs="SimSun"/>
          <w:sz w:val="32"/>
          <w:szCs w:val="32"/>
          <w:spacing w:val="4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"/>
        </w:rPr>
        <w:t>兴业银行股份有限公司</w:t>
      </w:r>
    </w:p>
    <w:p>
      <w:pPr>
        <w:pStyle w:val="BodyText"/>
        <w:spacing w:line="301" w:lineRule="auto"/>
        <w:rPr/>
      </w:pPr>
      <w:r/>
    </w:p>
    <w:p>
      <w:pPr>
        <w:ind w:left="492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</w:rPr>
        <w:t>23.</w:t>
      </w:r>
      <w:r>
        <w:rPr>
          <w:rFonts w:ascii="SimSun" w:hAnsi="SimSun" w:eastAsia="SimSun" w:cs="SimSun"/>
          <w:sz w:val="32"/>
          <w:szCs w:val="32"/>
          <w:spacing w:val="52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招商银行股份有限公司</w:t>
      </w:r>
    </w:p>
    <w:p>
      <w:pPr>
        <w:pStyle w:val="BodyText"/>
        <w:spacing w:line="311" w:lineRule="auto"/>
        <w:rPr/>
      </w:pPr>
      <w:r/>
    </w:p>
    <w:p>
      <w:pPr>
        <w:ind w:left="492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</w:rPr>
        <w:t>24.</w:t>
      </w:r>
      <w:r>
        <w:rPr>
          <w:rFonts w:ascii="SimSun" w:hAnsi="SimSun" w:eastAsia="SimSun" w:cs="SimSun"/>
          <w:sz w:val="32"/>
          <w:szCs w:val="32"/>
          <w:spacing w:val="52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杭州银行股份有限公司</w:t>
      </w:r>
    </w:p>
    <w:p>
      <w:pPr>
        <w:spacing w:line="221" w:lineRule="auto"/>
        <w:sectPr>
          <w:footerReference w:type="default" r:id="rId12"/>
          <w:pgSz w:w="11920" w:h="16830"/>
          <w:pgMar w:top="1430" w:right="1424" w:bottom="1654" w:left="1788" w:header="0" w:footer="1328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554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1"/>
        </w:rPr>
        <w:t>25.</w:t>
      </w:r>
      <w:r>
        <w:rPr>
          <w:rFonts w:ascii="SimSun" w:hAnsi="SimSun" w:eastAsia="SimSun" w:cs="SimSun"/>
          <w:sz w:val="31"/>
          <w:szCs w:val="31"/>
          <w:spacing w:val="73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1"/>
        </w:rPr>
        <w:t>国家开发银行</w:t>
      </w:r>
    </w:p>
    <w:p>
      <w:pPr>
        <w:pStyle w:val="BodyText"/>
        <w:spacing w:line="320" w:lineRule="auto"/>
        <w:rPr/>
      </w:pPr>
      <w:r/>
    </w:p>
    <w:p>
      <w:pPr>
        <w:ind w:left="549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9"/>
        </w:rPr>
        <w:t>26. </w:t>
      </w:r>
      <w:r>
        <w:rPr>
          <w:rFonts w:ascii="FangSong" w:hAnsi="FangSong" w:eastAsia="FangSong" w:cs="FangSong"/>
          <w:sz w:val="31"/>
          <w:szCs w:val="31"/>
          <w:spacing w:val="29"/>
        </w:rPr>
        <w:t>星展银行(中国)有限公司</w:t>
      </w:r>
    </w:p>
    <w:p>
      <w:pPr>
        <w:pStyle w:val="BodyText"/>
        <w:spacing w:line="316" w:lineRule="auto"/>
        <w:rPr/>
      </w:pPr>
      <w:r/>
    </w:p>
    <w:p>
      <w:pPr>
        <w:ind w:left="549"/>
        <w:spacing w:before="100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27.</w:t>
      </w:r>
      <w:r>
        <w:rPr>
          <w:rFonts w:ascii="SimSun" w:hAnsi="SimSun" w:eastAsia="SimSun" w:cs="SimSun"/>
          <w:sz w:val="31"/>
          <w:szCs w:val="31"/>
          <w:spacing w:val="10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恒丰银行股份有限公司</w:t>
      </w:r>
    </w:p>
    <w:p>
      <w:pPr>
        <w:pStyle w:val="BodyText"/>
        <w:spacing w:line="326" w:lineRule="auto"/>
        <w:rPr/>
      </w:pPr>
      <w:r/>
    </w:p>
    <w:p>
      <w:pPr>
        <w:ind w:left="549"/>
        <w:spacing w:before="100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28.</w:t>
      </w:r>
      <w:r>
        <w:rPr>
          <w:rFonts w:ascii="SimSun" w:hAnsi="SimSun" w:eastAsia="SimSun" w:cs="SimSun"/>
          <w:sz w:val="31"/>
          <w:szCs w:val="31"/>
          <w:spacing w:val="10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珠海华润银行股份有限公司</w:t>
      </w:r>
    </w:p>
    <w:p>
      <w:pPr>
        <w:pStyle w:val="BodyText"/>
        <w:spacing w:line="296" w:lineRule="auto"/>
        <w:rPr/>
      </w:pPr>
      <w:r/>
    </w:p>
    <w:p>
      <w:pPr>
        <w:ind w:left="549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</w:rPr>
        <w:t>29.</w:t>
      </w:r>
      <w:r>
        <w:rPr>
          <w:rFonts w:ascii="SimSun" w:hAnsi="SimSun" w:eastAsia="SimSun" w:cs="SimSun"/>
          <w:sz w:val="31"/>
          <w:szCs w:val="31"/>
          <w:spacing w:val="1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浙商银行股份有限公司</w:t>
      </w:r>
    </w:p>
    <w:p>
      <w:pPr>
        <w:pStyle w:val="BodyText"/>
        <w:spacing w:line="316" w:lineRule="auto"/>
        <w:rPr/>
      </w:pPr>
      <w:r/>
    </w:p>
    <w:p>
      <w:pPr>
        <w:ind w:left="619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30.</w:t>
      </w:r>
      <w:r>
        <w:rPr>
          <w:rFonts w:ascii="SimSun" w:hAnsi="SimSun" w:eastAsia="SimSun" w:cs="SimSun"/>
          <w:sz w:val="31"/>
          <w:szCs w:val="31"/>
          <w:spacing w:val="8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深圳农村商业银行股份有限公司</w:t>
      </w:r>
    </w:p>
    <w:p>
      <w:pPr>
        <w:pStyle w:val="BodyText"/>
        <w:spacing w:line="296" w:lineRule="auto"/>
        <w:rPr/>
      </w:pPr>
      <w:r/>
    </w:p>
    <w:p>
      <w:pPr>
        <w:ind w:left="619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31.</w:t>
      </w:r>
      <w:r>
        <w:rPr>
          <w:rFonts w:ascii="SimSun" w:hAnsi="SimSun" w:eastAsia="SimSun" w:cs="SimSun"/>
          <w:sz w:val="31"/>
          <w:szCs w:val="31"/>
          <w:spacing w:val="8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深圳前海微众银行股份有限公司</w:t>
      </w:r>
    </w:p>
    <w:p>
      <w:pPr>
        <w:pStyle w:val="BodyText"/>
        <w:spacing w:line="316" w:lineRule="auto"/>
        <w:rPr/>
      </w:pPr>
      <w:r/>
    </w:p>
    <w:p>
      <w:pPr>
        <w:ind w:left="619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32.</w:t>
      </w:r>
      <w:r>
        <w:rPr>
          <w:rFonts w:ascii="SimSun" w:hAnsi="SimSun" w:eastAsia="SimSun" w:cs="SimSun"/>
          <w:sz w:val="31"/>
          <w:szCs w:val="31"/>
          <w:spacing w:val="7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渤海银行股份有限公司</w:t>
      </w:r>
    </w:p>
    <w:p>
      <w:pPr>
        <w:pStyle w:val="BodyText"/>
        <w:spacing w:line="316" w:lineRule="auto"/>
        <w:rPr/>
      </w:pPr>
      <w:r/>
    </w:p>
    <w:p>
      <w:pPr>
        <w:ind w:left="619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</w:rPr>
        <w:t>33.</w:t>
      </w:r>
      <w:r>
        <w:rPr>
          <w:rFonts w:ascii="SimSun" w:hAnsi="SimSun" w:eastAsia="SimSun" w:cs="SimSun"/>
          <w:sz w:val="31"/>
          <w:szCs w:val="31"/>
          <w:spacing w:val="6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富邦华一银行有限公司</w:t>
      </w:r>
    </w:p>
    <w:p>
      <w:pPr>
        <w:pStyle w:val="BodyText"/>
        <w:spacing w:line="306" w:lineRule="auto"/>
        <w:rPr/>
      </w:pPr>
      <w:r/>
    </w:p>
    <w:p>
      <w:pPr>
        <w:ind w:left="619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34.</w:t>
      </w:r>
      <w:r>
        <w:rPr>
          <w:rFonts w:ascii="SimSun" w:hAnsi="SimSun" w:eastAsia="SimSun" w:cs="SimSun"/>
          <w:sz w:val="31"/>
          <w:szCs w:val="31"/>
          <w:spacing w:val="7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徽商银行股份有限公司</w:t>
      </w:r>
    </w:p>
    <w:p>
      <w:pPr>
        <w:pStyle w:val="BodyText"/>
        <w:spacing w:line="356" w:lineRule="auto"/>
        <w:rPr/>
      </w:pPr>
      <w:r/>
    </w:p>
    <w:p>
      <w:pPr>
        <w:ind w:left="754"/>
        <w:spacing w:before="101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6"/>
        </w:rPr>
        <w:t>二、证券机构</w:t>
      </w:r>
    </w:p>
    <w:p>
      <w:pPr>
        <w:pStyle w:val="BodyText"/>
        <w:spacing w:line="277" w:lineRule="auto"/>
        <w:rPr/>
      </w:pPr>
      <w:r/>
    </w:p>
    <w:p>
      <w:pPr>
        <w:ind w:left="619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</w:rPr>
        <w:t>1.</w:t>
      </w:r>
      <w:r>
        <w:rPr>
          <w:rFonts w:ascii="SimSun" w:hAnsi="SimSun" w:eastAsia="SimSun" w:cs="SimSun"/>
          <w:sz w:val="31"/>
          <w:szCs w:val="31"/>
          <w:spacing w:val="12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万和证券股份有限公司</w:t>
      </w:r>
    </w:p>
    <w:p>
      <w:pPr>
        <w:pStyle w:val="BodyText"/>
        <w:spacing w:line="304" w:lineRule="auto"/>
        <w:rPr/>
      </w:pPr>
      <w:r/>
    </w:p>
    <w:p>
      <w:pPr>
        <w:ind w:left="619"/>
        <w:spacing w:before="10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2.</w:t>
      </w:r>
      <w:r>
        <w:rPr>
          <w:rFonts w:ascii="SimSun" w:hAnsi="SimSun" w:eastAsia="SimSun" w:cs="SimSun"/>
          <w:sz w:val="31"/>
          <w:szCs w:val="31"/>
          <w:spacing w:val="10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万联证券股份有限公司</w:t>
      </w:r>
    </w:p>
    <w:p>
      <w:pPr>
        <w:pStyle w:val="BodyText"/>
        <w:spacing w:line="324" w:lineRule="auto"/>
        <w:rPr/>
      </w:pPr>
      <w:r/>
    </w:p>
    <w:p>
      <w:pPr>
        <w:ind w:left="619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3.</w:t>
      </w:r>
      <w:r>
        <w:rPr>
          <w:rFonts w:ascii="SimSun" w:hAnsi="SimSun" w:eastAsia="SimSun" w:cs="SimSun"/>
          <w:sz w:val="31"/>
          <w:szCs w:val="31"/>
          <w:spacing w:val="10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天风证券股份有限公司</w:t>
      </w:r>
    </w:p>
    <w:p>
      <w:pPr>
        <w:pStyle w:val="BodyText"/>
        <w:spacing w:line="314" w:lineRule="auto"/>
        <w:rPr/>
      </w:pPr>
      <w:r/>
    </w:p>
    <w:p>
      <w:pPr>
        <w:ind w:left="619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4.</w:t>
      </w:r>
      <w:r>
        <w:rPr>
          <w:rFonts w:ascii="SimSun" w:hAnsi="SimSun" w:eastAsia="SimSun" w:cs="SimSun"/>
          <w:sz w:val="31"/>
          <w:szCs w:val="31"/>
          <w:spacing w:val="9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五矿证券有限公司</w:t>
      </w:r>
    </w:p>
    <w:p>
      <w:pPr>
        <w:pStyle w:val="BodyText"/>
        <w:spacing w:line="324" w:lineRule="auto"/>
        <w:rPr/>
      </w:pPr>
      <w:r/>
    </w:p>
    <w:p>
      <w:pPr>
        <w:ind w:left="690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1"/>
        </w:rPr>
        <w:t>5. </w:t>
      </w:r>
      <w:r>
        <w:rPr>
          <w:rFonts w:ascii="FangSong" w:hAnsi="FangSong" w:eastAsia="FangSong" w:cs="FangSong"/>
          <w:sz w:val="31"/>
          <w:szCs w:val="31"/>
          <w:spacing w:val="11"/>
        </w:rPr>
        <w:t>中国国际金融股份有限公司</w:t>
      </w:r>
    </w:p>
    <w:p>
      <w:pPr>
        <w:spacing w:line="222" w:lineRule="auto"/>
        <w:sectPr>
          <w:footerReference w:type="default" r:id="rId13"/>
          <w:pgSz w:w="11920" w:h="16830"/>
          <w:pgMar w:top="1430" w:right="1788" w:bottom="1544" w:left="1669" w:header="0" w:footer="121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325" w:lineRule="auto"/>
        <w:rPr/>
      </w:pPr>
      <w:r/>
    </w:p>
    <w:p>
      <w:pPr>
        <w:pStyle w:val="BodyText"/>
        <w:spacing w:line="326" w:lineRule="auto"/>
        <w:rPr/>
      </w:pPr>
      <w:r/>
    </w:p>
    <w:p>
      <w:pPr>
        <w:ind w:left="486"/>
        <w:spacing w:before="10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5"/>
        </w:rPr>
        <w:t>6.</w:t>
      </w:r>
      <w:r>
        <w:rPr>
          <w:rFonts w:ascii="SimSun" w:hAnsi="SimSun" w:eastAsia="SimSun" w:cs="SimSun"/>
          <w:sz w:val="31"/>
          <w:szCs w:val="31"/>
          <w:spacing w:val="61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5"/>
        </w:rPr>
        <w:t>中国银河证券股份有限公司</w:t>
      </w:r>
    </w:p>
    <w:p>
      <w:pPr>
        <w:pStyle w:val="BodyText"/>
        <w:spacing w:line="326" w:lineRule="auto"/>
        <w:rPr/>
      </w:pPr>
      <w:r/>
    </w:p>
    <w:p>
      <w:pPr>
        <w:ind w:left="482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1"/>
        </w:rPr>
        <w:t>7. </w:t>
      </w:r>
      <w:r>
        <w:rPr>
          <w:rFonts w:ascii="FangSong" w:hAnsi="FangSong" w:eastAsia="FangSong" w:cs="FangSong"/>
          <w:sz w:val="31"/>
          <w:szCs w:val="31"/>
          <w:spacing w:val="11"/>
        </w:rPr>
        <w:t>中信证券股份有限公司</w:t>
      </w:r>
    </w:p>
    <w:p>
      <w:pPr>
        <w:pStyle w:val="BodyText"/>
        <w:spacing w:line="307" w:lineRule="auto"/>
        <w:rPr/>
      </w:pPr>
      <w:r/>
    </w:p>
    <w:p>
      <w:pPr>
        <w:ind w:left="482"/>
        <w:spacing w:before="10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1"/>
        </w:rPr>
        <w:t>8.</w:t>
      </w:r>
      <w:r>
        <w:rPr>
          <w:rFonts w:ascii="SimSun" w:hAnsi="SimSun" w:eastAsia="SimSun" w:cs="SimSun"/>
          <w:sz w:val="31"/>
          <w:szCs w:val="31"/>
          <w:spacing w:val="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中银国际证券股份有限公司</w:t>
      </w:r>
    </w:p>
    <w:p>
      <w:pPr>
        <w:pStyle w:val="BodyText"/>
        <w:spacing w:line="324" w:lineRule="auto"/>
        <w:rPr/>
      </w:pPr>
      <w:r/>
    </w:p>
    <w:p>
      <w:pPr>
        <w:ind w:left="482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8"/>
        </w:rPr>
        <w:t>9.</w:t>
      </w:r>
      <w:r>
        <w:rPr>
          <w:rFonts w:ascii="SimSun" w:hAnsi="SimSun" w:eastAsia="SimSun" w:cs="SimSun"/>
          <w:sz w:val="31"/>
          <w:szCs w:val="31"/>
          <w:spacing w:val="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长城证券股份有限公司</w:t>
      </w:r>
    </w:p>
    <w:p>
      <w:pPr>
        <w:pStyle w:val="BodyText"/>
        <w:spacing w:line="304" w:lineRule="auto"/>
        <w:rPr/>
      </w:pPr>
      <w:r/>
    </w:p>
    <w:p>
      <w:pPr>
        <w:ind w:left="341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3"/>
        </w:rPr>
        <w:t>10.</w:t>
      </w:r>
      <w:r>
        <w:rPr>
          <w:rFonts w:ascii="SimSun" w:hAnsi="SimSun" w:eastAsia="SimSun" w:cs="SimSun"/>
          <w:sz w:val="31"/>
          <w:szCs w:val="31"/>
          <w:spacing w:val="12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世纪证券有限责任公司</w:t>
      </w:r>
    </w:p>
    <w:p>
      <w:pPr>
        <w:pStyle w:val="BodyText"/>
        <w:spacing w:line="314" w:lineRule="auto"/>
        <w:rPr/>
      </w:pPr>
      <w:r/>
    </w:p>
    <w:p>
      <w:pPr>
        <w:ind w:left="341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11.</w:t>
      </w:r>
      <w:r>
        <w:rPr>
          <w:rFonts w:ascii="SimSun" w:hAnsi="SimSun" w:eastAsia="SimSun" w:cs="SimSun"/>
          <w:sz w:val="31"/>
          <w:szCs w:val="31"/>
          <w:spacing w:val="6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东方证券股份有限公司</w:t>
      </w:r>
    </w:p>
    <w:p>
      <w:pPr>
        <w:pStyle w:val="BodyText"/>
        <w:spacing w:line="314" w:lineRule="auto"/>
        <w:rPr/>
      </w:pPr>
      <w:r/>
    </w:p>
    <w:p>
      <w:pPr>
        <w:ind w:left="341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12.</w:t>
      </w:r>
      <w:r>
        <w:rPr>
          <w:rFonts w:ascii="SimSun" w:hAnsi="SimSun" w:eastAsia="SimSun" w:cs="SimSun"/>
          <w:sz w:val="31"/>
          <w:szCs w:val="31"/>
          <w:spacing w:val="6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东北证券股份有限公司</w:t>
      </w:r>
    </w:p>
    <w:p>
      <w:pPr>
        <w:pStyle w:val="BodyText"/>
        <w:spacing w:line="314" w:lineRule="auto"/>
        <w:rPr/>
      </w:pPr>
      <w:r/>
    </w:p>
    <w:p>
      <w:pPr>
        <w:ind w:left="341"/>
        <w:spacing w:before="10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13.</w:t>
      </w:r>
      <w:r>
        <w:rPr>
          <w:rFonts w:ascii="SimSun" w:hAnsi="SimSun" w:eastAsia="SimSun" w:cs="SimSun"/>
          <w:sz w:val="31"/>
          <w:szCs w:val="31"/>
          <w:spacing w:val="6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申万宏源证券有限公司</w:t>
      </w:r>
    </w:p>
    <w:p>
      <w:pPr>
        <w:pStyle w:val="BodyText"/>
        <w:spacing w:line="304" w:lineRule="auto"/>
        <w:rPr/>
      </w:pPr>
      <w:r/>
    </w:p>
    <w:p>
      <w:pPr>
        <w:ind w:left="341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14.</w:t>
      </w:r>
      <w:r>
        <w:rPr>
          <w:rFonts w:ascii="SimSun" w:hAnsi="SimSun" w:eastAsia="SimSun" w:cs="SimSun"/>
          <w:sz w:val="31"/>
          <w:szCs w:val="31"/>
          <w:spacing w:val="6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申港证券股份有限公司</w:t>
      </w:r>
    </w:p>
    <w:p>
      <w:pPr>
        <w:pStyle w:val="BodyText"/>
        <w:spacing w:line="312" w:lineRule="auto"/>
        <w:rPr/>
      </w:pPr>
      <w:r/>
    </w:p>
    <w:p>
      <w:pPr>
        <w:ind w:left="341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15.</w:t>
      </w:r>
      <w:r>
        <w:rPr>
          <w:rFonts w:ascii="SimSun" w:hAnsi="SimSun" w:eastAsia="SimSun" w:cs="SimSun"/>
          <w:sz w:val="31"/>
          <w:szCs w:val="31"/>
          <w:spacing w:val="6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华创证券有限责任公司</w:t>
      </w:r>
    </w:p>
    <w:p>
      <w:pPr>
        <w:pStyle w:val="BodyText"/>
        <w:spacing w:line="304" w:lineRule="auto"/>
        <w:rPr/>
      </w:pPr>
      <w:r/>
    </w:p>
    <w:p>
      <w:pPr>
        <w:ind w:left="341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16.</w:t>
      </w:r>
      <w:r>
        <w:rPr>
          <w:rFonts w:ascii="SimSun" w:hAnsi="SimSun" w:eastAsia="SimSun" w:cs="SimSun"/>
          <w:sz w:val="31"/>
          <w:szCs w:val="31"/>
          <w:spacing w:val="6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华泰证券股份有限公司</w:t>
      </w:r>
    </w:p>
    <w:p>
      <w:pPr>
        <w:pStyle w:val="BodyText"/>
        <w:spacing w:line="314" w:lineRule="auto"/>
        <w:rPr/>
      </w:pPr>
      <w:r/>
    </w:p>
    <w:p>
      <w:pPr>
        <w:ind w:left="341"/>
        <w:spacing w:before="10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17.</w:t>
      </w:r>
      <w:r>
        <w:rPr>
          <w:rFonts w:ascii="SimSun" w:hAnsi="SimSun" w:eastAsia="SimSun" w:cs="SimSun"/>
          <w:sz w:val="31"/>
          <w:szCs w:val="31"/>
          <w:spacing w:val="6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华福证券有限责任公司</w:t>
      </w:r>
    </w:p>
    <w:p>
      <w:pPr>
        <w:pStyle w:val="BodyText"/>
        <w:spacing w:line="316" w:lineRule="auto"/>
        <w:rPr/>
      </w:pPr>
      <w:r/>
    </w:p>
    <w:p>
      <w:pPr>
        <w:ind w:left="341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18.</w:t>
      </w:r>
      <w:r>
        <w:rPr>
          <w:rFonts w:ascii="SimSun" w:hAnsi="SimSun" w:eastAsia="SimSun" w:cs="SimSun"/>
          <w:sz w:val="31"/>
          <w:szCs w:val="31"/>
          <w:spacing w:val="6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兴业证券股份有限公司</w:t>
      </w:r>
    </w:p>
    <w:p>
      <w:pPr>
        <w:pStyle w:val="BodyText"/>
        <w:spacing w:line="314" w:lineRule="auto"/>
        <w:rPr/>
      </w:pPr>
      <w:r/>
    </w:p>
    <w:p>
      <w:pPr>
        <w:ind w:left="341"/>
        <w:spacing w:before="10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19.</w:t>
      </w:r>
      <w:r>
        <w:rPr>
          <w:rFonts w:ascii="SimSun" w:hAnsi="SimSun" w:eastAsia="SimSun" w:cs="SimSun"/>
          <w:sz w:val="31"/>
          <w:szCs w:val="31"/>
          <w:spacing w:val="6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招商证券股份有限公司</w:t>
      </w:r>
    </w:p>
    <w:p>
      <w:pPr>
        <w:pStyle w:val="BodyText"/>
        <w:spacing w:line="314" w:lineRule="auto"/>
        <w:rPr/>
      </w:pPr>
      <w:r/>
    </w:p>
    <w:p>
      <w:pPr>
        <w:ind w:left="341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9"/>
        </w:rPr>
        <w:t>20. </w:t>
      </w:r>
      <w:r>
        <w:rPr>
          <w:rFonts w:ascii="FangSong" w:hAnsi="FangSong" w:eastAsia="FangSong" w:cs="FangSong"/>
          <w:sz w:val="31"/>
          <w:szCs w:val="31"/>
          <w:spacing w:val="9"/>
        </w:rPr>
        <w:t>英大证券有限责任公司</w:t>
      </w:r>
    </w:p>
    <w:p>
      <w:pPr>
        <w:pStyle w:val="BodyText"/>
        <w:spacing w:line="312" w:lineRule="auto"/>
        <w:rPr/>
      </w:pPr>
      <w:r/>
    </w:p>
    <w:p>
      <w:pPr>
        <w:ind w:left="341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3"/>
        </w:rPr>
        <w:t>21. </w:t>
      </w:r>
      <w:r>
        <w:rPr>
          <w:rFonts w:ascii="FangSong" w:hAnsi="FangSong" w:eastAsia="FangSong" w:cs="FangSong"/>
          <w:sz w:val="31"/>
          <w:szCs w:val="31"/>
          <w:spacing w:val="13"/>
        </w:rPr>
        <w:t>国信证券股份有限公司</w:t>
      </w:r>
    </w:p>
    <w:p>
      <w:pPr>
        <w:spacing w:line="222" w:lineRule="auto"/>
        <w:sectPr>
          <w:footerReference w:type="default" r:id="rId14"/>
          <w:pgSz w:w="11920" w:h="16830"/>
          <w:pgMar w:top="1430" w:right="1414" w:bottom="1656" w:left="1788" w:header="0" w:footer="13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470"/>
        <w:spacing w:before="10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22.</w:t>
      </w:r>
      <w:r>
        <w:rPr>
          <w:rFonts w:ascii="SimSun" w:hAnsi="SimSun" w:eastAsia="SimSun" w:cs="SimSun"/>
          <w:sz w:val="31"/>
          <w:szCs w:val="31"/>
          <w:spacing w:val="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国海证券股份有限公司</w:t>
      </w:r>
    </w:p>
    <w:p>
      <w:pPr>
        <w:pStyle w:val="BodyText"/>
        <w:spacing w:line="304" w:lineRule="auto"/>
        <w:rPr/>
      </w:pPr>
      <w:r/>
    </w:p>
    <w:p>
      <w:pPr>
        <w:ind w:left="470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23.</w:t>
      </w:r>
      <w:r>
        <w:rPr>
          <w:rFonts w:ascii="SimSun" w:hAnsi="SimSun" w:eastAsia="SimSun" w:cs="SimSun"/>
          <w:sz w:val="31"/>
          <w:szCs w:val="31"/>
          <w:spacing w:val="7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海通证券股份有限公司</w:t>
      </w:r>
    </w:p>
    <w:p>
      <w:pPr>
        <w:pStyle w:val="BodyText"/>
        <w:spacing w:line="324" w:lineRule="auto"/>
        <w:rPr/>
      </w:pPr>
      <w:r/>
    </w:p>
    <w:p>
      <w:pPr>
        <w:ind w:left="470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24.</w:t>
      </w:r>
      <w:r>
        <w:rPr>
          <w:rFonts w:ascii="SimSun" w:hAnsi="SimSun" w:eastAsia="SimSun" w:cs="SimSun"/>
          <w:sz w:val="31"/>
          <w:szCs w:val="31"/>
          <w:spacing w:val="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第一创业证券股份有限公司</w:t>
      </w:r>
    </w:p>
    <w:p>
      <w:pPr>
        <w:pStyle w:val="BodyText"/>
        <w:spacing w:line="340" w:lineRule="auto"/>
        <w:rPr/>
      </w:pPr>
      <w:r/>
    </w:p>
    <w:p>
      <w:pPr>
        <w:ind w:right="109" w:firstLine="640"/>
        <w:spacing w:before="91" w:line="396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35"/>
        </w:rPr>
        <w:t>其中，中国工商银行股份有限公司、中国农业银行股份</w:t>
      </w:r>
      <w:r>
        <w:rPr>
          <w:rFonts w:ascii="FangSong" w:hAnsi="FangSong" w:eastAsia="FangSong" w:cs="FangSong"/>
          <w:sz w:val="28"/>
          <w:szCs w:val="28"/>
          <w:spacing w:val="34"/>
        </w:rPr>
        <w:t>有限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35"/>
        </w:rPr>
        <w:t>公司、中国建设银行股份有限公司、中国银行股份有限公司、中</w:t>
      </w:r>
      <w:r>
        <w:rPr>
          <w:rFonts w:ascii="FangSong" w:hAnsi="FangSong" w:eastAsia="FangSong" w:cs="FangSong"/>
          <w:sz w:val="28"/>
          <w:szCs w:val="28"/>
          <w:spacing w:val="1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36"/>
        </w:rPr>
        <w:t>信银行股份有限公司、交通银行股份有限公司、兴业银行股份有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37"/>
        </w:rPr>
        <w:t>限公司、招商银行股份有限公司、中国国际金融股份有限公司、</w:t>
      </w:r>
      <w:r>
        <w:rPr>
          <w:rFonts w:ascii="FangSong" w:hAnsi="FangSong" w:eastAsia="FangSong" w:cs="FangSong"/>
          <w:sz w:val="28"/>
          <w:szCs w:val="28"/>
          <w:spacing w:val="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36"/>
        </w:rPr>
        <w:t>中信证券股份有限公司、东方证券股份有限公司为主承销商。</w:t>
      </w:r>
    </w:p>
    <w:p>
      <w:pPr>
        <w:ind w:left="820"/>
        <w:spacing w:before="13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(以上排名不分先后)</w:t>
      </w:r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left="104"/>
        <w:spacing w:before="92" w:line="18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23"/>
        </w:rPr>
        <w:t>信</w:t>
      </w:r>
      <w:r>
        <w:rPr>
          <w:rFonts w:ascii="FangSong" w:hAnsi="FangSong" w:eastAsia="FangSong" w:cs="FangSong"/>
          <w:sz w:val="28"/>
          <w:szCs w:val="28"/>
          <w:spacing w:val="27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23"/>
        </w:rPr>
        <w:t>息</w:t>
      </w:r>
      <w:r>
        <w:rPr>
          <w:rFonts w:ascii="FangSong" w:hAnsi="FangSong" w:eastAsia="FangSong" w:cs="FangSong"/>
          <w:sz w:val="28"/>
          <w:szCs w:val="28"/>
          <w:spacing w:val="-2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23"/>
        </w:rPr>
        <w:t>公</w:t>
      </w:r>
      <w:r>
        <w:rPr>
          <w:rFonts w:ascii="FangSong" w:hAnsi="FangSong" w:eastAsia="FangSong" w:cs="FangSong"/>
          <w:sz w:val="28"/>
          <w:szCs w:val="28"/>
          <w:spacing w:val="6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23"/>
        </w:rPr>
        <w:t>开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23"/>
        </w:rPr>
        <w:t>选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23"/>
        </w:rPr>
        <w:t>项</w:t>
      </w:r>
      <w:r>
        <w:rPr>
          <w:rFonts w:ascii="FangSong" w:hAnsi="FangSong" w:eastAsia="FangSong" w:cs="FangSong"/>
          <w:sz w:val="28"/>
          <w:szCs w:val="28"/>
          <w:spacing w:val="27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23"/>
        </w:rPr>
        <w:t>：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23"/>
        </w:rPr>
        <w:t>主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23"/>
        </w:rPr>
        <w:t>动</w:t>
      </w:r>
      <w:r>
        <w:rPr>
          <w:rFonts w:ascii="FangSong" w:hAnsi="FangSong" w:eastAsia="FangSong" w:cs="FangSong"/>
          <w:sz w:val="28"/>
          <w:szCs w:val="28"/>
          <w:spacing w:val="12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23"/>
        </w:rPr>
        <w:t>公</w:t>
      </w:r>
      <w:r>
        <w:rPr>
          <w:rFonts w:ascii="FangSong" w:hAnsi="FangSong" w:eastAsia="FangSong" w:cs="FangSong"/>
          <w:sz w:val="28"/>
          <w:szCs w:val="28"/>
          <w:spacing w:val="6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23"/>
        </w:rPr>
        <w:t>开</w:t>
      </w:r>
    </w:p>
    <w:tbl>
      <w:tblPr>
        <w:tblStyle w:val="TableNormal"/>
        <w:tblW w:w="8904" w:type="dxa"/>
        <w:tblInd w:w="85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474"/>
        <w:gridCol w:w="4430"/>
      </w:tblGrid>
      <w:tr>
        <w:trPr>
          <w:trHeight w:val="719" w:hRule="atLeast"/>
        </w:trPr>
        <w:tc>
          <w:tcPr>
            <w:tcW w:w="4474" w:type="dxa"/>
            <w:vAlign w:val="top"/>
            <w:tcBorders>
              <w:bottom w:val="single" w:color="000000" w:sz="8" w:space="0"/>
              <w:top w:val="single" w:color="000000" w:sz="4" w:space="0"/>
            </w:tcBorders>
          </w:tcPr>
          <w:p>
            <w:pPr>
              <w:ind w:left="384"/>
              <w:spacing w:before="306" w:line="22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深圳市财政局办公室</w:t>
            </w:r>
          </w:p>
        </w:tc>
        <w:tc>
          <w:tcPr>
            <w:tcW w:w="4430" w:type="dxa"/>
            <w:vAlign w:val="top"/>
            <w:tcBorders>
              <w:bottom w:val="single" w:color="000000" w:sz="8" w:space="0"/>
              <w:top w:val="single" w:color="000000" w:sz="4" w:space="0"/>
            </w:tcBorders>
          </w:tcPr>
          <w:p>
            <w:pPr>
              <w:ind w:left="1690"/>
              <w:spacing w:before="257" w:line="222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20"/>
              </w:rPr>
              <w:t>2024年6月18日印发</w:t>
            </w:r>
          </w:p>
        </w:tc>
      </w:tr>
    </w:tbl>
    <w:p>
      <w:pPr>
        <w:pStyle w:val="BodyText"/>
        <w:rPr/>
      </w:pPr>
      <w:r/>
    </w:p>
    <w:sectPr>
      <w:footerReference w:type="default" r:id="rId15"/>
      <w:pgSz w:w="11920" w:h="16830"/>
      <w:pgMar w:top="1430" w:right="1389" w:bottom="1600" w:left="1539" w:header="0" w:footer="1235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jc w:val="right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3"/>
      </w:rPr>
      <w:t>—1—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19"/>
      <w:spacing w:line="232" w:lineRule="auto"/>
      <w:rPr>
        <w:rFonts w:ascii="SimSun" w:hAnsi="SimSun" w:eastAsia="SimSun" w:cs="SimSun"/>
        <w:sz w:val="26"/>
        <w:szCs w:val="26"/>
      </w:rPr>
    </w:pPr>
    <w:r>
      <w:rPr>
        <w:rFonts w:ascii="SimSun" w:hAnsi="SimSun" w:eastAsia="SimSun" w:cs="SimSun"/>
        <w:sz w:val="26"/>
        <w:szCs w:val="26"/>
        <w:b/>
        <w:bCs/>
        <w:spacing w:val="-5"/>
      </w:rPr>
      <w:t>—10—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jc w:val="right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b/>
        <w:bCs/>
        <w:spacing w:val="-5"/>
      </w:rPr>
      <w:t>—11—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2"/>
      </w:rPr>
      <w:t>—12—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2" w:lineRule="auto"/>
      <w:jc w:val="right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b/>
        <w:bCs/>
        <w:spacing w:val="-5"/>
      </w:rPr>
      <w:t>—13—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00"/>
      <w:spacing w:line="23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8"/>
      </w:rPr>
      <w:t>—14—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3"/>
      <w:spacing w:line="233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b/>
        <w:bCs/>
        <w:spacing w:val="-6"/>
      </w:rPr>
      <w:t>—2—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2" w:lineRule="auto"/>
      <w:jc w:val="right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b/>
        <w:bCs/>
        <w:spacing w:val="-6"/>
      </w:rPr>
      <w:t>—3—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10"/>
      <w:spacing w:line="23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—4—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534"/>
      <w:spacing w:line="232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3"/>
      </w:rPr>
      <w:t>—5—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08"/>
      <w:spacing w:line="232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b/>
        <w:bCs/>
        <w:spacing w:val="-6"/>
      </w:rPr>
      <w:t>—6—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7"/>
      <w:spacing w:line="232" w:lineRule="auto"/>
      <w:jc w:val="right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3"/>
      </w:rPr>
      <w:t>—7—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5"/>
      <w:spacing w:line="232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3"/>
      </w:rPr>
      <w:t>—8—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548"/>
      <w:spacing w:line="232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b/>
        <w:bCs/>
        <w:spacing w:val="-6"/>
      </w:rPr>
      <w:t>—9—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8.xml"/><Relationship Id="rId8" Type="http://schemas.openxmlformats.org/officeDocument/2006/relationships/footer" Target="footer7.xml"/><Relationship Id="rId7" Type="http://schemas.openxmlformats.org/officeDocument/2006/relationships/footer" Target="footer6.xml"/><Relationship Id="rId6" Type="http://schemas.openxmlformats.org/officeDocument/2006/relationships/footer" Target="footer5.xml"/><Relationship Id="rId5" Type="http://schemas.openxmlformats.org/officeDocument/2006/relationships/image" Target="media/image1.png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8" Type="http://schemas.openxmlformats.org/officeDocument/2006/relationships/fontTable" Target="fontTable.xml"/><Relationship Id="rId17" Type="http://schemas.openxmlformats.org/officeDocument/2006/relationships/styles" Target="styles.xml"/><Relationship Id="rId16" Type="http://schemas.openxmlformats.org/officeDocument/2006/relationships/settings" Target="settings.xml"/><Relationship Id="rId15" Type="http://schemas.openxmlformats.org/officeDocument/2006/relationships/footer" Target="footer14.xml"/><Relationship Id="rId14" Type="http://schemas.openxmlformats.org/officeDocument/2006/relationships/footer" Target="footer13.xml"/><Relationship Id="rId13" Type="http://schemas.openxmlformats.org/officeDocument/2006/relationships/footer" Target="footer12.xml"/><Relationship Id="rId12" Type="http://schemas.openxmlformats.org/officeDocument/2006/relationships/footer" Target="footer11.xml"/><Relationship Id="rId11" Type="http://schemas.openxmlformats.org/officeDocument/2006/relationships/footer" Target="footer10.xml"/><Relationship Id="rId10" Type="http://schemas.openxmlformats.org/officeDocument/2006/relationships/footer" Target="footer9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2025-12-23T11:03:13Z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2025-12-23T11:03:14</vt:filetime>
  </property>
  <property fmtid="{D5CDD505-2E9C-101B-9397-08002B2CF9AE}" pid="4" name="UsrData">
    <vt:lpwstr>694a066d93e4d8001f164cb2wl</vt:lpwstr>
  </property>
</Properties>
</file>