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288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深财库〔2024〕40号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306"/>
        <w:spacing w:before="14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"/>
        </w:rPr>
        <w:t>深圳市财政局关于发行2024年深圳市政府</w:t>
      </w:r>
    </w:p>
    <w:p>
      <w:pPr>
        <w:ind w:left="866"/>
        <w:spacing w:before="69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5"/>
        </w:rPr>
        <w:t>再融资一般债券(一期)和专项债券</w:t>
      </w:r>
    </w:p>
    <w:p>
      <w:pPr>
        <w:ind w:left="1716"/>
        <w:spacing w:before="67"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0"/>
        </w:rPr>
        <w:t>(五至八期)有关事宜的通知</w:t>
      </w:r>
    </w:p>
    <w:p>
      <w:pPr>
        <w:pStyle w:val="BodyText"/>
        <w:spacing w:line="337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right="103"/>
        <w:spacing w:before="101" w:line="36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中央国债登记结算有限责任公司、中国证券登记结算有限责任公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司、上海证券交易所、深圳证券交易所、北京证</w:t>
      </w:r>
      <w:r>
        <w:rPr>
          <w:rFonts w:ascii="FangSong" w:hAnsi="FangSong" w:eastAsia="FangSong" w:cs="FangSong"/>
          <w:sz w:val="31"/>
          <w:szCs w:val="31"/>
          <w:spacing w:val="6"/>
        </w:rPr>
        <w:t>券交易所，2024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—2026年深圳市政府债券承销团成员：</w:t>
      </w:r>
    </w:p>
    <w:p>
      <w:pPr>
        <w:ind w:firstLine="649"/>
        <w:spacing w:before="4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行深圳市政府再融资一般债券(一期)和专项债券(五至八期)。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现就本批债券发行有关事宜通知如下：</w:t>
      </w:r>
    </w:p>
    <w:p>
      <w:pPr>
        <w:ind w:left="66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一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、发行安排</w:t>
      </w:r>
    </w:p>
    <w:p>
      <w:pPr>
        <w:ind w:left="809"/>
        <w:spacing w:before="22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(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spacing w:val="11"/>
        </w:rPr>
        <w:t>一)发行场所</w:t>
      </w:r>
      <w:r>
        <w:rPr>
          <w:rFonts w:ascii="FangSong" w:hAnsi="FangSong" w:eastAsia="FangSong" w:cs="FangSong"/>
          <w:sz w:val="31"/>
          <w:szCs w:val="31"/>
          <w:spacing w:val="11"/>
        </w:rPr>
        <w:t>。通过全国银行间债券市场、证券交易所债</w:t>
      </w:r>
    </w:p>
    <w:p>
      <w:pPr>
        <w:spacing w:line="224" w:lineRule="auto"/>
        <w:sectPr>
          <w:footerReference w:type="default" r:id="rId1"/>
          <w:pgSz w:w="11900" w:h="16830"/>
          <w:pgMar w:top="1430" w:right="1234" w:bottom="1554" w:left="1670" w:header="0" w:footer="122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券市场发行。</w:t>
      </w:r>
    </w:p>
    <w:p>
      <w:pPr>
        <w:ind w:left="19" w:right="113" w:firstLine="750"/>
        <w:spacing w:before="176" w:line="30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3"/>
        </w:rPr>
        <w:t>(二)品种和数量</w:t>
      </w:r>
      <w:r>
        <w:rPr>
          <w:rFonts w:ascii="FangSong" w:hAnsi="FangSong" w:eastAsia="FangSong" w:cs="FangSong"/>
          <w:sz w:val="32"/>
          <w:szCs w:val="32"/>
          <w:spacing w:val="3"/>
        </w:rPr>
        <w:t>。本批债券共五期，全部为记账式固定利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率附息债，计划发行面值总额为45.1872亿元。</w:t>
      </w:r>
    </w:p>
    <w:p>
      <w:pPr>
        <w:ind w:left="769"/>
        <w:spacing w:before="174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6"/>
        </w:rPr>
        <w:t>(三)上市安排</w:t>
      </w:r>
      <w:r>
        <w:rPr>
          <w:rFonts w:ascii="FangSong" w:hAnsi="FangSong" w:eastAsia="FangSong" w:cs="FangSong"/>
          <w:sz w:val="32"/>
          <w:szCs w:val="32"/>
          <w:spacing w:val="6"/>
        </w:rPr>
        <w:t>。本期债券按照有关规定进行上市交易。</w:t>
      </w:r>
    </w:p>
    <w:p>
      <w:pPr>
        <w:ind w:left="769"/>
        <w:spacing w:before="266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1"/>
        </w:rPr>
        <w:t>(四)其他事项</w:t>
      </w:r>
      <w:r>
        <w:rPr>
          <w:rFonts w:ascii="FangSong" w:hAnsi="FangSong" w:eastAsia="FangSong" w:cs="FangSong"/>
          <w:sz w:val="32"/>
          <w:szCs w:val="32"/>
          <w:spacing w:val="11"/>
        </w:rPr>
        <w:t>。具体发行安排见附件1。</w:t>
      </w:r>
    </w:p>
    <w:p>
      <w:pPr>
        <w:ind w:left="674"/>
        <w:spacing w:before="209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二、竞争性招标</w:t>
      </w:r>
    </w:p>
    <w:p>
      <w:pPr>
        <w:ind w:left="19" w:right="81" w:firstLine="750"/>
        <w:spacing w:before="207" w:line="29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4"/>
        </w:rPr>
        <w:t>(一)招标方式。采</w:t>
      </w:r>
      <w:r>
        <w:rPr>
          <w:rFonts w:ascii="FangSong" w:hAnsi="FangSong" w:eastAsia="FangSong" w:cs="FangSong"/>
          <w:sz w:val="32"/>
          <w:szCs w:val="32"/>
          <w:spacing w:val="4"/>
        </w:rPr>
        <w:t>用单一价格荷兰式招标方式，标的为利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率，全场最高中标利率为各期债券的票面利率。</w:t>
      </w:r>
    </w:p>
    <w:p>
      <w:pPr>
        <w:ind w:left="19" w:right="73" w:firstLine="750"/>
        <w:spacing w:before="186" w:line="3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7"/>
        </w:rPr>
        <w:t>(二)时间安排。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2024年6月17日16:00-16:40为竞争性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招标时间，竞争性招标结束后15分钟内为填制债权托管申请书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时间。本期债券6月18日开始计息，招标结束至缴款日进行分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7"/>
        </w:rPr>
        <w:t>销。</w:t>
      </w:r>
    </w:p>
    <w:p>
      <w:pPr>
        <w:ind w:left="19" w:right="12" w:firstLine="840"/>
        <w:spacing w:before="202" w:line="3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8"/>
        </w:rPr>
        <w:t>(三)参与机构。</w:t>
      </w:r>
      <w:r>
        <w:rPr>
          <w:rFonts w:ascii="KaiTi" w:hAnsi="KaiTi" w:eastAsia="KaiTi" w:cs="KaiTi"/>
          <w:sz w:val="32"/>
          <w:szCs w:val="3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2</w:t>
      </w:r>
      <w:r>
        <w:rPr>
          <w:rFonts w:ascii="FangSong" w:hAnsi="FangSong" w:eastAsia="FangSong" w:cs="FangSong"/>
          <w:sz w:val="32"/>
          <w:szCs w:val="32"/>
          <w:spacing w:val="8"/>
        </w:rPr>
        <w:t>024—2026年深圳市政府债券承销团成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员(以下简称“承销团成员”,名单见附件)有资格参与本次投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标。</w:t>
      </w:r>
    </w:p>
    <w:p>
      <w:pPr>
        <w:ind w:left="19" w:firstLine="840"/>
        <w:spacing w:before="202" w:line="3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3"/>
        </w:rPr>
        <w:t>(四)标位限定。</w:t>
      </w:r>
      <w:r>
        <w:rPr>
          <w:rFonts w:ascii="KaiTi" w:hAnsi="KaiTi" w:eastAsia="KaiTi" w:cs="KaiTi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投标标位变动幅度为0.01%。每一承销团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成员最高、最低标位差为30个标位，无需连续投标。</w:t>
      </w:r>
      <w:r>
        <w:rPr>
          <w:rFonts w:ascii="FangSong" w:hAnsi="FangSong" w:eastAsia="FangSong" w:cs="FangSong"/>
          <w:sz w:val="32"/>
          <w:szCs w:val="32"/>
          <w:spacing w:val="8"/>
        </w:rPr>
        <w:t>投标标位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7"/>
        </w:rPr>
        <w:t>区间下限为招标日前1至5个工作日(含第1和第5个工作日，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下同)财政部公布的财政部-中国地方政府债券收益率曲线中，3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年期地方政府债券收益率算术平均值下浮7%(四舍五入计算到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0.01%,下同),5年期地方政府债券收益</w:t>
      </w:r>
      <w:r>
        <w:rPr>
          <w:rFonts w:ascii="FangSong" w:hAnsi="FangSong" w:eastAsia="FangSong" w:cs="FangSong"/>
          <w:sz w:val="32"/>
          <w:szCs w:val="32"/>
          <w:spacing w:val="16"/>
        </w:rPr>
        <w:t>率算术平均值下浮6%,</w:t>
      </w:r>
    </w:p>
    <w:p>
      <w:pPr>
        <w:spacing w:line="332" w:lineRule="auto"/>
        <w:sectPr>
          <w:footerReference w:type="default" r:id="rId2"/>
          <w:pgSz w:w="11920" w:h="16830"/>
          <w:pgMar w:top="1430" w:right="1344" w:bottom="1504" w:left="1610" w:header="0" w:footer="117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38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right="173"/>
        <w:spacing w:before="97" w:line="37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6"/>
        </w:rPr>
        <w:t>7年期地方政府债券收益率算术平均值下浮4%,10年期地方政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8"/>
        </w:rPr>
        <w:t>府债券收益率算术平均值下浮7%且不低于招标日前1至5个工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作日财政部公布的财政部-中国国债收益率曲线中，同</w:t>
      </w:r>
      <w:r>
        <w:rPr>
          <w:rFonts w:ascii="FangSong" w:hAnsi="FangSong" w:eastAsia="FangSong" w:cs="FangSong"/>
          <w:sz w:val="30"/>
          <w:szCs w:val="30"/>
          <w:spacing w:val="21"/>
        </w:rPr>
        <w:t>年期国债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收益率算术平均值；投标标位区间上限为上述各年期地方政府债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券收益率算术平均值上浮10%。</w:t>
      </w:r>
    </w:p>
    <w:p>
      <w:pPr>
        <w:ind w:left="29" w:right="175" w:firstLine="800"/>
        <w:spacing w:before="3" w:line="38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4"/>
        </w:rPr>
        <w:t>(五)招标系统。</w:t>
      </w:r>
      <w:r>
        <w:rPr>
          <w:rFonts w:ascii="KaiTi" w:hAnsi="KaiTi" w:eastAsia="KaiTi" w:cs="KaiTi"/>
          <w:sz w:val="30"/>
          <w:szCs w:val="30"/>
          <w:spacing w:val="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</w:rPr>
        <w:t>深圳市财政局(以下简称“市财政局”)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于招标日通过“财政部深圳证券交易所政府债券发行系统”组织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招投标工作。</w:t>
      </w:r>
    </w:p>
    <w:p>
      <w:pPr>
        <w:ind w:left="694"/>
        <w:spacing w:before="1" w:line="220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5"/>
        </w:rPr>
        <w:t>三</w:t>
      </w:r>
      <w:r>
        <w:rPr>
          <w:rFonts w:ascii="SimHei" w:hAnsi="SimHei" w:eastAsia="SimHei" w:cs="SimHei"/>
          <w:sz w:val="30"/>
          <w:szCs w:val="30"/>
          <w:spacing w:val="-57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5"/>
        </w:rPr>
        <w:t>、发行款缴纳</w:t>
      </w:r>
    </w:p>
    <w:p>
      <w:pPr>
        <w:ind w:left="29" w:right="87" w:firstLine="690"/>
        <w:spacing w:before="236" w:line="38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4"/>
        </w:rPr>
        <w:t>承销团成员于2024年6月18日15:00前，按照承销额度及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缴款通知书上确定金额，将发行款通过大额实时支付系统缴入市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财政局指定账户。缴款日期以市财政局指定账户收到款项为准。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承销团成员未按时缴付发行款的，按规定将</w:t>
      </w:r>
      <w:r>
        <w:rPr>
          <w:rFonts w:ascii="FangSong" w:hAnsi="FangSong" w:eastAsia="FangSong" w:cs="FangSong"/>
          <w:sz w:val="30"/>
          <w:szCs w:val="30"/>
          <w:spacing w:val="16"/>
        </w:rPr>
        <w:t>违约金通过大额实时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支付系统缴入市财政局指定账户。</w:t>
      </w:r>
    </w:p>
    <w:p>
      <w:pPr>
        <w:ind w:left="750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市财政局收款账户信息：</w:t>
      </w:r>
    </w:p>
    <w:p>
      <w:pPr>
        <w:ind w:left="750"/>
        <w:spacing w:before="239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户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   </w:t>
      </w:r>
      <w:r>
        <w:rPr>
          <w:rFonts w:ascii="FangSong" w:hAnsi="FangSong" w:eastAsia="FangSong" w:cs="FangSong"/>
          <w:sz w:val="30"/>
          <w:szCs w:val="30"/>
          <w:spacing w:val="16"/>
        </w:rPr>
        <w:t>名：深圳市财政库款</w:t>
      </w:r>
    </w:p>
    <w:p>
      <w:pPr>
        <w:ind w:left="750"/>
        <w:spacing w:before="255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账</w:t>
      </w:r>
      <w:r>
        <w:rPr>
          <w:rFonts w:ascii="FangSong" w:hAnsi="FangSong" w:eastAsia="FangSong" w:cs="FangSong"/>
          <w:sz w:val="30"/>
          <w:szCs w:val="30"/>
          <w:spacing w:val="30"/>
        </w:rPr>
        <w:t xml:space="preserve">    </w:t>
      </w:r>
      <w:r>
        <w:rPr>
          <w:rFonts w:ascii="FangSong" w:hAnsi="FangSong" w:eastAsia="FangSong" w:cs="FangSong"/>
          <w:sz w:val="30"/>
          <w:szCs w:val="30"/>
          <w:spacing w:val="8"/>
        </w:rPr>
        <w:t>号：380100000003271001</w:t>
      </w:r>
    </w:p>
    <w:p>
      <w:pPr>
        <w:ind w:left="754"/>
        <w:spacing w:before="23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5"/>
        </w:rPr>
        <w:t>开户银行：国家金库深圳分库</w:t>
      </w:r>
    </w:p>
    <w:p>
      <w:pPr>
        <w:ind w:left="754"/>
        <w:spacing w:before="26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9"/>
        </w:rPr>
        <w:t>汇入行行号：011584003008</w:t>
      </w:r>
    </w:p>
    <w:p>
      <w:pPr>
        <w:ind w:left="129" w:right="58" w:firstLine="620"/>
        <w:spacing w:before="228" w:line="3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支付报文中附言为必录项，填写时应当注明缴款级次、收入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6"/>
        </w:rPr>
        <w:t>科</w:t>
      </w:r>
      <w:r>
        <w:rPr>
          <w:rFonts w:ascii="FangSong" w:hAnsi="FangSong" w:eastAsia="FangSong" w:cs="FangSong"/>
          <w:sz w:val="30"/>
          <w:szCs w:val="30"/>
          <w:spacing w:val="-44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46"/>
        </w:rPr>
        <w:t>目代码、债券简称及资金用途。本批债券录入：市</w:t>
      </w:r>
      <w:r>
        <w:rPr>
          <w:rFonts w:ascii="FangSong" w:hAnsi="FangSong" w:eastAsia="FangSong" w:cs="FangSong"/>
          <w:sz w:val="30"/>
          <w:szCs w:val="30"/>
          <w:b/>
          <w:bCs/>
          <w:spacing w:val="45"/>
        </w:rPr>
        <w:t>级</w:t>
      </w:r>
      <w:r>
        <w:rPr>
          <w:rFonts w:ascii="FangSong" w:hAnsi="FangSong" w:eastAsia="FangSong" w:cs="FangSong"/>
          <w:sz w:val="30"/>
          <w:szCs w:val="30"/>
          <w:spacing w:val="45"/>
        </w:rPr>
        <w:t>、</w:t>
      </w:r>
    </w:p>
    <w:p>
      <w:pPr>
        <w:spacing w:line="384" w:lineRule="auto"/>
        <w:sectPr>
          <w:footerReference w:type="default" r:id="rId3"/>
          <w:pgSz w:w="11920" w:h="16830"/>
          <w:pgMar w:top="1430" w:right="1352" w:bottom="1644" w:left="1510" w:header="0" w:footer="1320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right="34"/>
        <w:spacing w:before="101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105040298、24深圳债6月再融资发行款。如未及时缴款，请按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照原承销合同要求缴纳违约金，并录入：市级、1039999、24深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圳债**逾期违约金。</w:t>
      </w:r>
    </w:p>
    <w:p>
      <w:pPr>
        <w:ind w:left="654"/>
        <w:spacing w:before="229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5"/>
        </w:rPr>
        <w:t>四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5"/>
        </w:rPr>
        <w:t>、其他</w:t>
      </w:r>
    </w:p>
    <w:p>
      <w:pPr>
        <w:ind w:right="26" w:firstLine="810"/>
        <w:spacing w:before="20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8"/>
        </w:rPr>
        <w:t>(</w:t>
      </w:r>
      <w:r>
        <w:rPr>
          <w:rFonts w:ascii="KaiTi" w:hAnsi="KaiTi" w:eastAsia="KaiTi" w:cs="KaiTi"/>
          <w:sz w:val="31"/>
          <w:szCs w:val="31"/>
          <w:spacing w:val="18"/>
        </w:rPr>
        <w:t xml:space="preserve"> </w:t>
      </w:r>
      <w:r>
        <w:rPr>
          <w:rFonts w:ascii="KaiTi" w:hAnsi="KaiTi" w:eastAsia="KaiTi" w:cs="KaiTi"/>
          <w:sz w:val="31"/>
          <w:szCs w:val="31"/>
          <w:spacing w:val="18"/>
        </w:rPr>
        <w:t>一</w:t>
      </w:r>
      <w:r>
        <w:rPr>
          <w:rFonts w:ascii="FangSong" w:hAnsi="FangSong" w:eastAsia="FangSong" w:cs="FangSong"/>
          <w:sz w:val="31"/>
          <w:szCs w:val="31"/>
          <w:spacing w:val="18"/>
        </w:rPr>
        <w:t>)根据《财政部国家税务总局关于地方政府债券利息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免征所得税问题的通知》(财税〔2013〕5号)的规定，对企业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和个人取得的深圳市政府债券利息所得，免征</w:t>
      </w:r>
      <w:r>
        <w:rPr>
          <w:rFonts w:ascii="FangSong" w:hAnsi="FangSong" w:eastAsia="FangSong" w:cs="FangSong"/>
          <w:sz w:val="31"/>
          <w:szCs w:val="31"/>
          <w:spacing w:val="6"/>
        </w:rPr>
        <w:t>企业所得税和个人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所得税。</w:t>
      </w:r>
    </w:p>
    <w:p>
      <w:pPr>
        <w:ind w:left="60" w:firstLine="769"/>
        <w:spacing w:before="202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(</w:t>
      </w:r>
      <w:r>
        <w:rPr>
          <w:rFonts w:ascii="KaiTi" w:hAnsi="KaiTi" w:eastAsia="KaiTi" w:cs="KaiTi"/>
          <w:sz w:val="31"/>
          <w:szCs w:val="31"/>
          <w:spacing w:val="5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二</w:t>
      </w:r>
      <w:r>
        <w:rPr>
          <w:rFonts w:ascii="FangSong" w:hAnsi="FangSong" w:eastAsia="FangSong" w:cs="FangSong"/>
          <w:sz w:val="31"/>
          <w:szCs w:val="31"/>
          <w:spacing w:val="5"/>
        </w:rPr>
        <w:t>)除上述规定外，发行工作其他事宜按《深圳市财政局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关于印发〈深圳市政府债券招标发行和兑付办法〉的通知》(深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财库〔2023〕77号)规定执行。</w:t>
      </w:r>
    </w:p>
    <w:p>
      <w:pPr>
        <w:ind w:left="710"/>
        <w:spacing w:before="23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特此通知。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699" w:right="387" w:hanging="969"/>
        <w:spacing w:before="102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附件：1.2024年6月17日深圳市政府债券发行情况表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2.2024—2026年深圳市政府债券承销团成员</w:t>
      </w:r>
      <w:r>
        <w:rPr>
          <w:rFonts w:ascii="FangSong" w:hAnsi="FangSong" w:eastAsia="FangSong" w:cs="FangSong"/>
          <w:sz w:val="31"/>
          <w:szCs w:val="31"/>
          <w:spacing w:val="11"/>
        </w:rPr>
        <w:t>名单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552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3403598</wp:posOffset>
            </wp:positionH>
            <wp:positionV relativeFrom="paragraph">
              <wp:posOffset>-499540</wp:posOffset>
            </wp:positionV>
            <wp:extent cx="1536689" cy="154310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9" cy="154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11"/>
        </w:rPr>
        <w:t>深圳市财政局</w:t>
      </w:r>
    </w:p>
    <w:p>
      <w:pPr>
        <w:ind w:left="5409"/>
        <w:spacing w:before="23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0"/>
        </w:rPr>
        <w:t>2024年6月3日</w:t>
      </w:r>
    </w:p>
    <w:p>
      <w:pPr>
        <w:spacing w:line="222" w:lineRule="auto"/>
        <w:sectPr>
          <w:footerReference w:type="default" r:id="rId4"/>
          <w:pgSz w:w="11900" w:h="16830"/>
          <w:pgMar w:top="1430" w:right="1410" w:bottom="1624" w:left="1579" w:header="0" w:footer="12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699"/>
        <w:spacing w:before="108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20"/>
        </w:rPr>
        <w:t>附件1</w:t>
      </w:r>
    </w:p>
    <w:p>
      <w:pPr>
        <w:pStyle w:val="BodyText"/>
        <w:spacing w:line="419" w:lineRule="auto"/>
        <w:rPr/>
      </w:pPr>
      <w:r/>
    </w:p>
    <w:p>
      <w:pPr>
        <w:ind w:left="3381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6"/>
        </w:rPr>
        <w:t>2024年6月17日深圳市政府债券发行情况表</w:t>
      </w:r>
    </w:p>
    <w:p>
      <w:pPr>
        <w:spacing w:line="153" w:lineRule="exact"/>
        <w:rPr/>
      </w:pPr>
      <w:r/>
    </w:p>
    <w:tbl>
      <w:tblPr>
        <w:tblStyle w:val="TableNormal"/>
        <w:tblW w:w="156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5"/>
        <w:gridCol w:w="1589"/>
        <w:gridCol w:w="1249"/>
        <w:gridCol w:w="1000"/>
        <w:gridCol w:w="850"/>
        <w:gridCol w:w="1249"/>
        <w:gridCol w:w="1249"/>
        <w:gridCol w:w="1249"/>
        <w:gridCol w:w="1749"/>
        <w:gridCol w:w="1289"/>
        <w:gridCol w:w="969"/>
        <w:gridCol w:w="1239"/>
        <w:gridCol w:w="1424"/>
      </w:tblGrid>
      <w:tr>
        <w:trPr>
          <w:trHeight w:val="714" w:hRule="atLeast"/>
        </w:trPr>
        <w:tc>
          <w:tcPr>
            <w:tcW w:w="525" w:type="dxa"/>
            <w:vAlign w:val="top"/>
            <w:textDirection w:val="tbRlV"/>
          </w:tcPr>
          <w:p>
            <w:pPr>
              <w:pStyle w:val="TableText"/>
              <w:ind w:left="41"/>
              <w:spacing w:before="172" w:line="199" w:lineRule="auto"/>
              <w:rPr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382"/>
              <w:spacing w:before="260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213"/>
              <w:spacing w:before="259" w:line="219" w:lineRule="auto"/>
              <w:rPr/>
            </w:pPr>
            <w:r>
              <w:rPr>
                <w:b/>
                <w:bCs/>
                <w:spacing w:val="-4"/>
              </w:rPr>
              <w:t>债券简称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ind w:left="94"/>
              <w:spacing w:before="260" w:line="219" w:lineRule="auto"/>
              <w:rPr/>
            </w:pPr>
            <w:r>
              <w:rPr>
                <w:b/>
                <w:bCs/>
                <w:spacing w:val="-4"/>
              </w:rPr>
              <w:t>债券代码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14"/>
              <w:spacing w:before="80" w:line="220" w:lineRule="auto"/>
              <w:rPr/>
            </w:pPr>
            <w:r>
              <w:rPr>
                <w:b/>
                <w:bCs/>
                <w:spacing w:val="-5"/>
              </w:rPr>
              <w:t>期限</w:t>
            </w:r>
          </w:p>
          <w:p>
            <w:pPr>
              <w:pStyle w:val="TableText"/>
              <w:ind w:left="214"/>
              <w:spacing w:before="91" w:line="219" w:lineRule="auto"/>
              <w:rPr/>
            </w:pPr>
            <w:r>
              <w:rPr>
                <w:b/>
                <w:bCs/>
                <w:spacing w:val="10"/>
              </w:rPr>
              <w:t>(年)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213" w:right="131" w:hanging="99"/>
              <w:spacing w:before="71" w:line="292" w:lineRule="auto"/>
              <w:rPr/>
            </w:pPr>
            <w:r>
              <w:rPr>
                <w:b/>
                <w:bCs/>
                <w:spacing w:val="-4"/>
              </w:rPr>
              <w:t>计划发行面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值(亿元)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415" w:right="133" w:hanging="300"/>
              <w:spacing w:before="60" w:line="297" w:lineRule="auto"/>
              <w:rPr/>
            </w:pPr>
            <w:r>
              <w:rPr>
                <w:b/>
                <w:bCs/>
                <w:spacing w:val="-5"/>
              </w:rPr>
              <w:t>竞争性招标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4"/>
              </w:rPr>
              <w:t>时间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216"/>
              <w:spacing w:before="260" w:line="219" w:lineRule="auto"/>
              <w:rPr/>
            </w:pPr>
            <w:r>
              <w:rPr>
                <w:b/>
                <w:bCs/>
                <w:spacing w:val="-4"/>
              </w:rPr>
              <w:t>付息频率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567"/>
              <w:spacing w:before="260" w:line="219" w:lineRule="auto"/>
              <w:rPr/>
            </w:pPr>
            <w:r>
              <w:rPr>
                <w:b/>
                <w:bCs/>
                <w:spacing w:val="8"/>
              </w:rPr>
              <w:t>付息日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38"/>
              <w:spacing w:before="259" w:line="219" w:lineRule="auto"/>
              <w:rPr/>
            </w:pPr>
            <w:r>
              <w:rPr>
                <w:b/>
                <w:bCs/>
                <w:spacing w:val="-4"/>
              </w:rPr>
              <w:t>还本安排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79"/>
              <w:spacing w:before="50" w:line="220" w:lineRule="auto"/>
              <w:rPr/>
            </w:pPr>
            <w:r>
              <w:rPr>
                <w:b/>
                <w:bCs/>
                <w:spacing w:val="-5"/>
              </w:rPr>
              <w:t>发行手续</w:t>
            </w:r>
          </w:p>
          <w:p>
            <w:pPr>
              <w:pStyle w:val="TableText"/>
              <w:ind w:left="279"/>
              <w:spacing w:before="141" w:line="219" w:lineRule="auto"/>
              <w:rPr/>
            </w:pPr>
            <w:r>
              <w:rPr>
                <w:b/>
                <w:bCs/>
                <w:spacing w:val="-1"/>
              </w:rPr>
              <w:t>费率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220"/>
              <w:spacing w:before="260" w:line="220" w:lineRule="auto"/>
              <w:rPr/>
            </w:pPr>
            <w:r>
              <w:rPr>
                <w:b/>
                <w:bCs/>
              </w:rPr>
              <w:t>发行地点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311"/>
              <w:spacing w:before="260" w:line="220" w:lineRule="auto"/>
              <w:rPr/>
            </w:pPr>
            <w:r>
              <w:rPr>
                <w:b/>
                <w:bCs/>
                <w:spacing w:val="-4"/>
              </w:rPr>
              <w:t>招标系统</w:t>
            </w:r>
          </w:p>
        </w:tc>
      </w:tr>
      <w:tr>
        <w:trPr>
          <w:trHeight w:val="1079" w:hRule="atLeast"/>
        </w:trPr>
        <w:tc>
          <w:tcPr>
            <w:tcW w:w="525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41" w:lineRule="auto"/>
              <w:rPr/>
            </w:pPr>
            <w:r>
              <w:rPr/>
              <w:t>1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80"/>
              <w:spacing w:before="69" w:line="219" w:lineRule="auto"/>
              <w:rPr/>
            </w:pPr>
            <w:r>
              <w:rPr>
                <w:spacing w:val="-1"/>
              </w:rPr>
              <w:t>2024年深圳市政</w:t>
            </w:r>
          </w:p>
          <w:p>
            <w:pPr>
              <w:pStyle w:val="TableText"/>
              <w:ind w:left="80"/>
              <w:spacing w:before="111" w:line="219" w:lineRule="auto"/>
              <w:rPr/>
            </w:pPr>
            <w:r>
              <w:rPr>
                <w:spacing w:val="-1"/>
              </w:rPr>
              <w:t>府再融资一般债</w:t>
            </w:r>
          </w:p>
          <w:p>
            <w:pPr>
              <w:pStyle w:val="TableText"/>
              <w:ind w:left="379"/>
              <w:spacing w:before="124" w:line="220" w:lineRule="auto"/>
              <w:rPr/>
            </w:pPr>
            <w:r>
              <w:rPr>
                <w:spacing w:val="8"/>
              </w:rPr>
              <w:t>券(一期)</w:t>
            </w:r>
          </w:p>
        </w:tc>
        <w:tc>
          <w:tcPr>
            <w:tcW w:w="124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19" w:lineRule="auto"/>
              <w:rPr/>
            </w:pPr>
            <w:r>
              <w:rPr>
                <w:spacing w:val="1"/>
              </w:rPr>
              <w:t>24深圳债18</w:t>
            </w:r>
          </w:p>
        </w:tc>
        <w:tc>
          <w:tcPr>
            <w:tcW w:w="100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/>
              <w:rPr/>
            </w:pPr>
            <w:r>
              <w:rPr>
                <w:spacing w:val="-4"/>
              </w:rPr>
              <w:t>198510</w:t>
            </w:r>
          </w:p>
        </w:tc>
        <w:tc>
          <w:tcPr>
            <w:tcW w:w="85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65"/>
              <w:rPr/>
            </w:pPr>
            <w:r>
              <w:rPr/>
              <w:t>5</w:t>
            </w:r>
          </w:p>
        </w:tc>
        <w:tc>
          <w:tcPr>
            <w:tcW w:w="124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41" w:lineRule="auto"/>
              <w:rPr/>
            </w:pPr>
            <w:r>
              <w:rPr/>
              <w:t>2</w:t>
            </w:r>
          </w:p>
        </w:tc>
        <w:tc>
          <w:tcPr>
            <w:tcW w:w="124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65" w:line="239" w:lineRule="auto"/>
              <w:rPr/>
            </w:pPr>
            <w:r>
              <w:rPr>
                <w:spacing w:val="-3"/>
              </w:rPr>
              <w:t>16:00-16:40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113"/>
              <w:spacing w:before="259" w:line="219" w:lineRule="auto"/>
              <w:rPr/>
            </w:pPr>
            <w:r>
              <w:rPr/>
              <w:t>每年付息一</w:t>
            </w:r>
          </w:p>
          <w:p>
            <w:pPr>
              <w:pStyle w:val="TableText"/>
              <w:ind w:left="514"/>
              <w:spacing w:before="112" w:line="219" w:lineRule="auto"/>
              <w:rPr/>
            </w:pPr>
            <w:r>
              <w:rPr/>
              <w:t>次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115"/>
              <w:spacing w:before="249" w:line="219" w:lineRule="auto"/>
              <w:rPr/>
            </w:pPr>
            <w:r>
              <w:rPr>
                <w:spacing w:val="3"/>
              </w:rPr>
              <w:t>存续期内6月18日</w:t>
            </w:r>
          </w:p>
          <w:p>
            <w:pPr>
              <w:pStyle w:val="TableText"/>
              <w:ind w:left="265"/>
              <w:spacing w:before="111" w:line="219" w:lineRule="auto"/>
              <w:rPr/>
            </w:pPr>
            <w:r>
              <w:rPr>
                <w:spacing w:val="6"/>
              </w:rPr>
              <w:t>(节假日顺延)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35" w:right="135" w:hanging="99"/>
              <w:spacing w:before="250" w:line="333" w:lineRule="auto"/>
              <w:rPr/>
            </w:pPr>
            <w:r>
              <w:rPr>
                <w:spacing w:val="1"/>
              </w:rPr>
              <w:t>到期一次性 </w:t>
            </w:r>
            <w:r>
              <w:rPr>
                <w:spacing w:val="-2"/>
              </w:rPr>
              <w:t>偿还本金</w:t>
            </w:r>
          </w:p>
        </w:tc>
        <w:tc>
          <w:tcPr>
            <w:tcW w:w="96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ind w:left="118"/>
              <w:spacing w:before="249" w:line="220" w:lineRule="auto"/>
              <w:rPr/>
            </w:pPr>
            <w:r>
              <w:rPr>
                <w:spacing w:val="-2"/>
              </w:rPr>
              <w:t>深圳证券交</w:t>
            </w:r>
          </w:p>
          <w:p>
            <w:pPr>
              <w:pStyle w:val="TableText"/>
              <w:ind w:left="418"/>
              <w:spacing w:before="111" w:line="220" w:lineRule="auto"/>
              <w:rPr/>
            </w:pPr>
            <w:r>
              <w:rPr>
                <w:spacing w:val="3"/>
              </w:rPr>
              <w:t>易所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109"/>
              <w:spacing w:before="89" w:line="219" w:lineRule="auto"/>
              <w:rPr/>
            </w:pPr>
            <w:r>
              <w:rPr>
                <w:spacing w:val="-2"/>
              </w:rPr>
              <w:t>财政部深圳证</w:t>
            </w:r>
          </w:p>
          <w:p>
            <w:pPr>
              <w:pStyle w:val="TableText"/>
              <w:ind w:left="109"/>
              <w:spacing w:before="101" w:line="219" w:lineRule="auto"/>
              <w:rPr/>
            </w:pPr>
            <w:r>
              <w:rPr>
                <w:spacing w:val="-1"/>
              </w:rPr>
              <w:t>券交易所政府</w:t>
            </w:r>
          </w:p>
          <w:p>
            <w:pPr>
              <w:pStyle w:val="TableText"/>
              <w:ind w:left="109"/>
              <w:spacing w:before="124" w:line="219" w:lineRule="auto"/>
              <w:rPr/>
            </w:pPr>
            <w:r>
              <w:rPr>
                <w:spacing w:val="-2"/>
              </w:rPr>
              <w:t>债券发行系统</w:t>
            </w:r>
          </w:p>
        </w:tc>
      </w:tr>
      <w:tr>
        <w:trPr>
          <w:trHeight w:val="1098" w:hRule="atLeast"/>
        </w:trPr>
        <w:tc>
          <w:tcPr>
            <w:tcW w:w="525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41" w:lineRule="auto"/>
              <w:rPr/>
            </w:pPr>
            <w:r>
              <w:rPr/>
              <w:t>2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80"/>
              <w:spacing w:before="70" w:line="219" w:lineRule="auto"/>
              <w:rPr/>
            </w:pPr>
            <w:r>
              <w:rPr>
                <w:spacing w:val="-1"/>
              </w:rPr>
              <w:t>2024年深圳市政</w:t>
            </w:r>
          </w:p>
          <w:p>
            <w:pPr>
              <w:pStyle w:val="TableText"/>
              <w:ind w:left="80"/>
              <w:spacing w:before="141" w:line="219" w:lineRule="auto"/>
              <w:rPr/>
            </w:pPr>
            <w:r>
              <w:rPr>
                <w:spacing w:val="-1"/>
              </w:rPr>
              <w:t>府再融资专项债</w:t>
            </w:r>
          </w:p>
          <w:p>
            <w:pPr>
              <w:pStyle w:val="TableText"/>
              <w:ind w:left="379"/>
              <w:spacing w:before="124" w:line="220" w:lineRule="auto"/>
              <w:rPr/>
            </w:pPr>
            <w:r>
              <w:rPr>
                <w:spacing w:val="8"/>
              </w:rPr>
              <w:t>券(五期)</w:t>
            </w:r>
          </w:p>
        </w:tc>
        <w:tc>
          <w:tcPr>
            <w:tcW w:w="124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19" w:lineRule="auto"/>
              <w:rPr/>
            </w:pPr>
            <w:r>
              <w:rPr>
                <w:spacing w:val="1"/>
              </w:rPr>
              <w:t>24深圳债19</w:t>
            </w:r>
          </w:p>
        </w:tc>
        <w:tc>
          <w:tcPr>
            <w:tcW w:w="100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/>
              <w:rPr/>
            </w:pPr>
            <w:r>
              <w:rPr>
                <w:spacing w:val="-4"/>
              </w:rPr>
              <w:t>198511</w:t>
            </w:r>
          </w:p>
        </w:tc>
        <w:tc>
          <w:tcPr>
            <w:tcW w:w="85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65"/>
              <w:rPr/>
            </w:pPr>
            <w:r>
              <w:rPr/>
              <w:t>3</w:t>
            </w:r>
          </w:p>
        </w:tc>
        <w:tc>
          <w:tcPr>
            <w:tcW w:w="124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5" w:line="239" w:lineRule="auto"/>
              <w:rPr/>
            </w:pPr>
            <w:r>
              <w:rPr>
                <w:spacing w:val="-4"/>
              </w:rPr>
              <w:t>1.2368</w:t>
            </w:r>
          </w:p>
        </w:tc>
        <w:tc>
          <w:tcPr>
            <w:tcW w:w="124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65" w:line="239" w:lineRule="auto"/>
              <w:rPr/>
            </w:pPr>
            <w:r>
              <w:rPr>
                <w:spacing w:val="-3"/>
              </w:rPr>
              <w:t>16:00-16:40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113"/>
              <w:spacing w:before="270" w:line="219" w:lineRule="auto"/>
              <w:rPr/>
            </w:pPr>
            <w:r>
              <w:rPr/>
              <w:t>每年付息一</w:t>
            </w:r>
          </w:p>
          <w:p>
            <w:pPr>
              <w:pStyle w:val="TableText"/>
              <w:ind w:left="514"/>
              <w:spacing w:before="132" w:line="219" w:lineRule="auto"/>
              <w:rPr/>
            </w:pPr>
            <w:r>
              <w:rPr/>
              <w:t>次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115"/>
              <w:spacing w:before="260" w:line="219" w:lineRule="auto"/>
              <w:rPr/>
            </w:pPr>
            <w:r>
              <w:rPr>
                <w:spacing w:val="3"/>
              </w:rPr>
              <w:t>存续期内6月18日</w:t>
            </w:r>
          </w:p>
          <w:p>
            <w:pPr>
              <w:pStyle w:val="TableText"/>
              <w:ind w:left="265"/>
              <w:spacing w:before="131" w:line="219" w:lineRule="auto"/>
              <w:rPr/>
            </w:pPr>
            <w:r>
              <w:rPr>
                <w:spacing w:val="6"/>
              </w:rPr>
              <w:t>(节假日顺延)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35" w:right="135" w:hanging="99"/>
              <w:spacing w:before="269" w:line="352" w:lineRule="auto"/>
              <w:rPr/>
            </w:pPr>
            <w:r>
              <w:rPr>
                <w:spacing w:val="1"/>
              </w:rPr>
              <w:t>到期一次性 </w:t>
            </w:r>
            <w:r>
              <w:rPr>
                <w:spacing w:val="-2"/>
              </w:rPr>
              <w:t>偿还本金</w:t>
            </w:r>
          </w:p>
        </w:tc>
        <w:tc>
          <w:tcPr>
            <w:tcW w:w="96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52" w:line="23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0.4‰0</w:t>
            </w:r>
          </w:p>
        </w:tc>
        <w:tc>
          <w:tcPr>
            <w:tcW w:w="123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65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42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9"/>
              <w:spacing w:before="65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068" w:hRule="atLeast"/>
        </w:trPr>
        <w:tc>
          <w:tcPr>
            <w:tcW w:w="525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/>
              <w:rPr/>
            </w:pPr>
            <w:r>
              <w:rPr/>
              <w:t>3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80"/>
              <w:spacing w:before="72" w:line="219" w:lineRule="auto"/>
              <w:rPr/>
            </w:pPr>
            <w:r>
              <w:rPr>
                <w:spacing w:val="-1"/>
              </w:rPr>
              <w:t>2024年深圳市政</w:t>
            </w:r>
          </w:p>
          <w:p>
            <w:pPr>
              <w:pStyle w:val="TableText"/>
              <w:ind w:left="80"/>
              <w:spacing w:before="121" w:line="219" w:lineRule="auto"/>
              <w:rPr/>
            </w:pPr>
            <w:r>
              <w:rPr>
                <w:spacing w:val="-1"/>
              </w:rPr>
              <w:t>府再融资专项债</w:t>
            </w:r>
          </w:p>
          <w:p>
            <w:pPr>
              <w:pStyle w:val="TableText"/>
              <w:ind w:left="379"/>
              <w:spacing w:before="134" w:line="220" w:lineRule="auto"/>
              <w:rPr/>
            </w:pPr>
            <w:r>
              <w:rPr>
                <w:spacing w:val="8"/>
              </w:rPr>
              <w:t>券(六期)</w:t>
            </w:r>
          </w:p>
        </w:tc>
        <w:tc>
          <w:tcPr>
            <w:tcW w:w="124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19" w:lineRule="auto"/>
              <w:rPr/>
            </w:pPr>
            <w:r>
              <w:rPr>
                <w:spacing w:val="1"/>
              </w:rPr>
              <w:t>24深圳债20</w:t>
            </w:r>
          </w:p>
        </w:tc>
        <w:tc>
          <w:tcPr>
            <w:tcW w:w="1000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/>
              <w:rPr/>
            </w:pPr>
            <w:r>
              <w:rPr>
                <w:spacing w:val="-4"/>
              </w:rPr>
              <w:t>198512</w:t>
            </w:r>
          </w:p>
        </w:tc>
        <w:tc>
          <w:tcPr>
            <w:tcW w:w="850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65"/>
              <w:rPr/>
            </w:pPr>
            <w:r>
              <w:rPr/>
              <w:t>5</w:t>
            </w:r>
          </w:p>
        </w:tc>
        <w:tc>
          <w:tcPr>
            <w:tcW w:w="124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5" w:line="239" w:lineRule="auto"/>
              <w:rPr/>
            </w:pPr>
            <w:r>
              <w:rPr>
                <w:spacing w:val="-2"/>
              </w:rPr>
              <w:t>7.9804</w:t>
            </w:r>
          </w:p>
        </w:tc>
        <w:tc>
          <w:tcPr>
            <w:tcW w:w="124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65" w:line="239" w:lineRule="auto"/>
              <w:rPr/>
            </w:pPr>
            <w:r>
              <w:rPr>
                <w:spacing w:val="-3"/>
              </w:rPr>
              <w:t>16:00-16:40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113"/>
              <w:spacing w:before="252" w:line="219" w:lineRule="auto"/>
              <w:rPr/>
            </w:pPr>
            <w:r>
              <w:rPr/>
              <w:t>每年付息一</w:t>
            </w:r>
          </w:p>
          <w:p>
            <w:pPr>
              <w:pStyle w:val="TableText"/>
              <w:ind w:left="514"/>
              <w:spacing w:before="122" w:line="219" w:lineRule="auto"/>
              <w:rPr/>
            </w:pPr>
            <w:r>
              <w:rPr/>
              <w:t>次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115"/>
              <w:spacing w:before="252" w:line="219" w:lineRule="auto"/>
              <w:rPr/>
            </w:pPr>
            <w:r>
              <w:rPr>
                <w:spacing w:val="3"/>
              </w:rPr>
              <w:t>存续期内6月18日</w:t>
            </w:r>
          </w:p>
          <w:p>
            <w:pPr>
              <w:pStyle w:val="TableText"/>
              <w:ind w:left="265"/>
              <w:spacing w:before="111" w:line="219" w:lineRule="auto"/>
              <w:rPr/>
            </w:pPr>
            <w:r>
              <w:rPr>
                <w:spacing w:val="6"/>
              </w:rPr>
              <w:t>(节假日顺延)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35" w:right="135" w:hanging="99"/>
              <w:spacing w:before="243" w:line="333" w:lineRule="auto"/>
              <w:rPr/>
            </w:pPr>
            <w:r>
              <w:rPr>
                <w:spacing w:val="1"/>
              </w:rPr>
              <w:t>到期一次性 </w:t>
            </w:r>
            <w:r>
              <w:rPr>
                <w:spacing w:val="-2"/>
              </w:rPr>
              <w:t>偿还本金</w:t>
            </w:r>
          </w:p>
        </w:tc>
        <w:tc>
          <w:tcPr>
            <w:tcW w:w="96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5" w:line="239" w:lineRule="auto"/>
              <w:rPr/>
            </w:pPr>
            <w:r>
              <w:rPr>
                <w:spacing w:val="-2"/>
              </w:rPr>
              <w:t>0.8%o</w:t>
            </w:r>
          </w:p>
        </w:tc>
        <w:tc>
          <w:tcPr>
            <w:tcW w:w="123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65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42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9"/>
              <w:spacing w:before="65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098" w:hRule="atLeast"/>
        </w:trPr>
        <w:tc>
          <w:tcPr>
            <w:tcW w:w="525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41" w:lineRule="auto"/>
              <w:rPr/>
            </w:pPr>
            <w:r>
              <w:rPr/>
              <w:t>4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80"/>
              <w:spacing w:before="94" w:line="219" w:lineRule="auto"/>
              <w:rPr/>
            </w:pPr>
            <w:r>
              <w:rPr>
                <w:spacing w:val="-1"/>
              </w:rPr>
              <w:t>2024年深圳市政</w:t>
            </w:r>
          </w:p>
          <w:p>
            <w:pPr>
              <w:pStyle w:val="TableText"/>
              <w:ind w:left="80"/>
              <w:spacing w:before="121" w:line="219" w:lineRule="auto"/>
              <w:rPr/>
            </w:pPr>
            <w:r>
              <w:rPr>
                <w:spacing w:val="-1"/>
              </w:rPr>
              <w:t>府再融资专项债</w:t>
            </w:r>
          </w:p>
          <w:p>
            <w:pPr>
              <w:pStyle w:val="TableText"/>
              <w:ind w:left="379"/>
              <w:spacing w:before="124" w:line="220" w:lineRule="auto"/>
              <w:rPr/>
            </w:pPr>
            <w:r>
              <w:rPr>
                <w:spacing w:val="8"/>
              </w:rPr>
              <w:t>券(七期)</w:t>
            </w:r>
          </w:p>
        </w:tc>
        <w:tc>
          <w:tcPr>
            <w:tcW w:w="124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19" w:lineRule="auto"/>
              <w:rPr/>
            </w:pPr>
            <w:r>
              <w:rPr>
                <w:spacing w:val="2"/>
              </w:rPr>
              <w:t>24深圳债21</w:t>
            </w:r>
          </w:p>
        </w:tc>
        <w:tc>
          <w:tcPr>
            <w:tcW w:w="100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/>
              <w:rPr/>
            </w:pPr>
            <w:r>
              <w:rPr>
                <w:spacing w:val="-4"/>
              </w:rPr>
              <w:t>198513</w:t>
            </w:r>
          </w:p>
        </w:tc>
        <w:tc>
          <w:tcPr>
            <w:tcW w:w="85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65"/>
              <w:rPr/>
            </w:pPr>
            <w:r>
              <w:rPr/>
              <w:t>7</w:t>
            </w:r>
          </w:p>
        </w:tc>
        <w:tc>
          <w:tcPr>
            <w:tcW w:w="124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5" w:line="239" w:lineRule="auto"/>
              <w:rPr/>
            </w:pPr>
            <w:r>
              <w:rPr>
                <w:spacing w:val="-2"/>
              </w:rPr>
              <w:t>23.97</w:t>
            </w:r>
          </w:p>
        </w:tc>
        <w:tc>
          <w:tcPr>
            <w:tcW w:w="124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65" w:line="239" w:lineRule="auto"/>
              <w:rPr/>
            </w:pPr>
            <w:r>
              <w:rPr>
                <w:spacing w:val="-3"/>
              </w:rPr>
              <w:t>16:00-16:40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113"/>
              <w:spacing w:before="264" w:line="219" w:lineRule="auto"/>
              <w:rPr/>
            </w:pPr>
            <w:r>
              <w:rPr/>
              <w:t>每年付息一</w:t>
            </w:r>
          </w:p>
          <w:p>
            <w:pPr>
              <w:pStyle w:val="TableText"/>
              <w:ind w:left="514"/>
              <w:spacing w:before="122" w:line="219" w:lineRule="auto"/>
              <w:rPr/>
            </w:pPr>
            <w:r>
              <w:rPr/>
              <w:t>次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115"/>
              <w:spacing w:before="264" w:line="219" w:lineRule="auto"/>
              <w:rPr/>
            </w:pPr>
            <w:r>
              <w:rPr>
                <w:spacing w:val="3"/>
              </w:rPr>
              <w:t>存续期内6月18日</w:t>
            </w:r>
          </w:p>
          <w:p>
            <w:pPr>
              <w:pStyle w:val="TableText"/>
              <w:ind w:left="265"/>
              <w:spacing w:before="131" w:line="219" w:lineRule="auto"/>
              <w:rPr/>
            </w:pPr>
            <w:r>
              <w:rPr>
                <w:spacing w:val="6"/>
              </w:rPr>
              <w:t>(节假日顺延)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35" w:right="135" w:hanging="99"/>
              <w:spacing w:before="253" w:line="343" w:lineRule="auto"/>
              <w:rPr/>
            </w:pPr>
            <w:r>
              <w:rPr>
                <w:spacing w:val="1"/>
              </w:rPr>
              <w:t>到期一次性 </w:t>
            </w:r>
            <w:r>
              <w:rPr>
                <w:spacing w:val="-2"/>
              </w:rPr>
              <w:t>偿还本金</w:t>
            </w:r>
          </w:p>
        </w:tc>
        <w:tc>
          <w:tcPr>
            <w:tcW w:w="96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5" w:line="239" w:lineRule="auto"/>
              <w:rPr/>
            </w:pPr>
            <w:r>
              <w:rPr>
                <w:spacing w:val="-2"/>
              </w:rPr>
              <w:t>0.8%0</w:t>
            </w:r>
          </w:p>
        </w:tc>
        <w:tc>
          <w:tcPr>
            <w:tcW w:w="1239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65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42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9"/>
              <w:spacing w:before="65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073" w:hRule="atLeast"/>
        </w:trPr>
        <w:tc>
          <w:tcPr>
            <w:tcW w:w="525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/>
              <w:rPr/>
            </w:pPr>
            <w:r>
              <w:rPr/>
              <w:t>5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80"/>
              <w:spacing w:before="76" w:line="219" w:lineRule="auto"/>
              <w:rPr/>
            </w:pPr>
            <w:r>
              <w:rPr>
                <w:spacing w:val="-1"/>
              </w:rPr>
              <w:t>2024年深圳市政</w:t>
            </w:r>
          </w:p>
          <w:p>
            <w:pPr>
              <w:pStyle w:val="TableText"/>
              <w:ind w:left="80"/>
              <w:spacing w:before="121" w:line="219" w:lineRule="auto"/>
              <w:rPr/>
            </w:pPr>
            <w:r>
              <w:rPr>
                <w:spacing w:val="-1"/>
              </w:rPr>
              <w:t>府再融资专项债</w:t>
            </w:r>
          </w:p>
          <w:p>
            <w:pPr>
              <w:pStyle w:val="TableText"/>
              <w:ind w:left="379"/>
              <w:spacing w:before="124" w:line="220" w:lineRule="auto"/>
              <w:rPr/>
            </w:pPr>
            <w:r>
              <w:rPr>
                <w:spacing w:val="8"/>
              </w:rPr>
              <w:t>券(八期)</w:t>
            </w:r>
          </w:p>
        </w:tc>
        <w:tc>
          <w:tcPr>
            <w:tcW w:w="124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6" w:line="219" w:lineRule="auto"/>
              <w:rPr/>
            </w:pPr>
            <w:r>
              <w:rPr>
                <w:spacing w:val="1"/>
              </w:rPr>
              <w:t>24深圳债22</w:t>
            </w:r>
          </w:p>
        </w:tc>
        <w:tc>
          <w:tcPr>
            <w:tcW w:w="1000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/>
              <w:rPr/>
            </w:pPr>
            <w:r>
              <w:rPr>
                <w:spacing w:val="-4"/>
              </w:rPr>
              <w:t>198514</w:t>
            </w:r>
          </w:p>
        </w:tc>
        <w:tc>
          <w:tcPr>
            <w:tcW w:w="850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5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2"/>
              <w:spacing w:before="65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4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65" w:line="239" w:lineRule="auto"/>
              <w:rPr/>
            </w:pPr>
            <w:r>
              <w:rPr>
                <w:spacing w:val="-3"/>
              </w:rPr>
              <w:t>16:00-16:40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413" w:right="110" w:hanging="300"/>
              <w:spacing w:before="266" w:line="334" w:lineRule="auto"/>
              <w:rPr/>
            </w:pPr>
            <w:r>
              <w:rPr>
                <w:spacing w:val="2"/>
              </w:rPr>
              <w:t>每半年付息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749" w:type="dxa"/>
            <w:vAlign w:val="top"/>
          </w:tcPr>
          <w:p>
            <w:pPr>
              <w:pStyle w:val="TableText"/>
              <w:ind w:left="115"/>
              <w:spacing w:before="76" w:line="219" w:lineRule="auto"/>
              <w:rPr/>
            </w:pPr>
            <w:r>
              <w:rPr>
                <w:spacing w:val="3"/>
              </w:rPr>
              <w:t>存续期内6月18日</w:t>
            </w:r>
          </w:p>
          <w:p>
            <w:pPr>
              <w:pStyle w:val="TableText"/>
              <w:ind w:left="414" w:right="232" w:hanging="199"/>
              <w:spacing w:before="123" w:line="289" w:lineRule="auto"/>
              <w:rPr/>
            </w:pPr>
            <w:r>
              <w:rPr>
                <w:spacing w:val="-1"/>
              </w:rPr>
              <w:t>和12月18日(节</w:t>
            </w:r>
            <w:r>
              <w:rPr/>
              <w:t xml:space="preserve"> </w:t>
            </w:r>
            <w:r>
              <w:rPr>
                <w:spacing w:val="8"/>
              </w:rPr>
              <w:t>假日顺延)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35" w:right="135" w:hanging="99"/>
              <w:spacing w:before="255" w:line="334" w:lineRule="auto"/>
              <w:rPr/>
            </w:pPr>
            <w:r>
              <w:rPr>
                <w:spacing w:val="1"/>
              </w:rPr>
              <w:t>到期一次性 </w:t>
            </w:r>
            <w:r>
              <w:rPr>
                <w:spacing w:val="-2"/>
              </w:rPr>
              <w:t>偿还本金</w:t>
            </w:r>
          </w:p>
        </w:tc>
        <w:tc>
          <w:tcPr>
            <w:tcW w:w="96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52" w:line="23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0.8‰</w:t>
            </w:r>
          </w:p>
        </w:tc>
        <w:tc>
          <w:tcPr>
            <w:tcW w:w="1239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65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424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9"/>
              <w:spacing w:before="65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6830" w:h="11920"/>
          <w:pgMar w:top="1013" w:right="635" w:bottom="1324" w:left="554" w:header="0" w:footer="1000" w:gutter="0"/>
        </w:sectPr>
        <w:rPr/>
      </w:pPr>
    </w:p>
    <w:p>
      <w:pPr>
        <w:pStyle w:val="BodyText"/>
        <w:spacing w:line="323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8"/>
        </w:rPr>
        <w:t>附件2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3551" w:right="598" w:hanging="2749"/>
        <w:spacing w:before="147" w:line="242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6"/>
        </w:rPr>
        <w:t>2024—2026年深圳市政府债券承销团</w:t>
      </w:r>
      <w:r>
        <w:rPr>
          <w:rFonts w:ascii="SimSun" w:hAnsi="SimSun" w:eastAsia="SimSun" w:cs="SimSun"/>
          <w:sz w:val="45"/>
          <w:szCs w:val="45"/>
          <w:spacing w:val="1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-9"/>
        </w:rPr>
        <w:t>成员名单</w:t>
      </w:r>
    </w:p>
    <w:p>
      <w:pPr>
        <w:pStyle w:val="BodyText"/>
        <w:spacing w:line="311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800"/>
        <w:spacing w:before="10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一</w:t>
      </w:r>
      <w:r>
        <w:rPr>
          <w:rFonts w:ascii="SimHei" w:hAnsi="SimHei" w:eastAsia="SimHei" w:cs="SimHei"/>
          <w:sz w:val="31"/>
          <w:szCs w:val="31"/>
          <w:spacing w:val="-7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5"/>
        </w:rPr>
        <w:t>、银行机构</w:t>
      </w:r>
    </w:p>
    <w:p>
      <w:pPr>
        <w:ind w:left="895"/>
        <w:spacing w:before="14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1.</w:t>
      </w:r>
      <w:r>
        <w:rPr>
          <w:rFonts w:ascii="SimSun" w:hAnsi="SimSun" w:eastAsia="SimSun" w:cs="SimSun"/>
          <w:sz w:val="31"/>
          <w:szCs w:val="31"/>
          <w:spacing w:val="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上海浦东发展银行股份有限公司</w:t>
      </w:r>
    </w:p>
    <w:p>
      <w:pPr>
        <w:ind w:left="89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2.</w:t>
      </w:r>
      <w:r>
        <w:rPr>
          <w:rFonts w:ascii="SimSun" w:hAnsi="SimSun" w:eastAsia="SimSun" w:cs="SimSun"/>
          <w:sz w:val="31"/>
          <w:szCs w:val="31"/>
          <w:spacing w:val="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上海银行股份有限公司</w:t>
      </w:r>
    </w:p>
    <w:p>
      <w:pPr>
        <w:ind w:left="89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3.</w:t>
      </w:r>
      <w:r>
        <w:rPr>
          <w:rFonts w:ascii="SimSun" w:hAnsi="SimSun" w:eastAsia="SimSun" w:cs="SimSun"/>
          <w:sz w:val="31"/>
          <w:szCs w:val="31"/>
          <w:spacing w:val="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广东华兴银行股份有限公司</w:t>
      </w:r>
    </w:p>
    <w:p>
      <w:pPr>
        <w:ind w:left="89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4.</w:t>
      </w:r>
      <w:r>
        <w:rPr>
          <w:rFonts w:ascii="SimSun" w:hAnsi="SimSun" w:eastAsia="SimSun" w:cs="SimSun"/>
          <w:sz w:val="31"/>
          <w:szCs w:val="31"/>
          <w:spacing w:val="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广发银行股份有限公司</w:t>
      </w:r>
    </w:p>
    <w:p>
      <w:pPr>
        <w:ind w:left="895"/>
        <w:spacing w:before="20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5.</w:t>
      </w:r>
      <w:r>
        <w:rPr>
          <w:rFonts w:ascii="SimSun" w:hAnsi="SimSun" w:eastAsia="SimSun" w:cs="SimSun"/>
          <w:sz w:val="31"/>
          <w:szCs w:val="31"/>
          <w:spacing w:val="10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广州银行股份有限公司</w:t>
      </w:r>
    </w:p>
    <w:p>
      <w:pPr>
        <w:ind w:left="89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6.</w:t>
      </w:r>
      <w:r>
        <w:rPr>
          <w:rFonts w:ascii="SimSun" w:hAnsi="SimSun" w:eastAsia="SimSun" w:cs="SimSun"/>
          <w:sz w:val="31"/>
          <w:szCs w:val="31"/>
          <w:spacing w:val="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天津银行股份有限公司</w:t>
      </w:r>
    </w:p>
    <w:p>
      <w:pPr>
        <w:ind w:left="89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7.</w:t>
      </w:r>
      <w:r>
        <w:rPr>
          <w:rFonts w:ascii="SimSun" w:hAnsi="SimSun" w:eastAsia="SimSun" w:cs="SimSun"/>
          <w:sz w:val="31"/>
          <w:szCs w:val="31"/>
          <w:spacing w:val="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中国工商银行股份有限公司</w:t>
      </w:r>
    </w:p>
    <w:p>
      <w:pPr>
        <w:ind w:left="895"/>
        <w:spacing w:before="22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8. </w:t>
      </w:r>
      <w:r>
        <w:rPr>
          <w:rFonts w:ascii="FangSong" w:hAnsi="FangSong" w:eastAsia="FangSong" w:cs="FangSong"/>
          <w:sz w:val="31"/>
          <w:szCs w:val="31"/>
          <w:spacing w:val="13"/>
        </w:rPr>
        <w:t>中国民生银行股份有限公司</w:t>
      </w:r>
    </w:p>
    <w:p>
      <w:pPr>
        <w:ind w:left="89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9.</w:t>
      </w:r>
      <w:r>
        <w:rPr>
          <w:rFonts w:ascii="SimSun" w:hAnsi="SimSun" w:eastAsia="SimSun" w:cs="SimSun"/>
          <w:sz w:val="31"/>
          <w:szCs w:val="31"/>
          <w:spacing w:val="9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中国光大银行股份有限公司</w:t>
      </w:r>
    </w:p>
    <w:p>
      <w:pPr>
        <w:ind w:left="795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10.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中国农业银行股份有限公司</w:t>
      </w:r>
    </w:p>
    <w:p>
      <w:pPr>
        <w:ind w:left="795"/>
        <w:spacing w:before="22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11.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中国建设银行股份有限公司</w:t>
      </w:r>
    </w:p>
    <w:p>
      <w:pPr>
        <w:ind w:left="79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12.</w:t>
      </w:r>
      <w:r>
        <w:rPr>
          <w:rFonts w:ascii="SimSun" w:hAnsi="SimSun" w:eastAsia="SimSun" w:cs="SimSun"/>
          <w:sz w:val="31"/>
          <w:szCs w:val="31"/>
          <w:spacing w:val="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中国银行股份有限公司</w:t>
      </w:r>
    </w:p>
    <w:p>
      <w:pPr>
        <w:ind w:left="79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13.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中信银行股份有限公司</w:t>
      </w:r>
    </w:p>
    <w:p>
      <w:pPr>
        <w:ind w:left="79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14.</w:t>
      </w:r>
      <w:r>
        <w:rPr>
          <w:rFonts w:ascii="SimSun" w:hAnsi="SimSun" w:eastAsia="SimSun" w:cs="SimSun"/>
          <w:sz w:val="31"/>
          <w:szCs w:val="31"/>
          <w:spacing w:val="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中原银行股份有限公司</w:t>
      </w:r>
    </w:p>
    <w:p>
      <w:pPr>
        <w:ind w:left="795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15.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平安银行股份有限公司</w:t>
      </w:r>
    </w:p>
    <w:p>
      <w:pPr>
        <w:ind w:left="795"/>
        <w:spacing w:before="21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16.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北京银行股份有限公司</w:t>
      </w:r>
    </w:p>
    <w:p>
      <w:pPr>
        <w:spacing w:line="221" w:lineRule="auto"/>
        <w:sectPr>
          <w:footerReference w:type="default" r:id="rId7"/>
          <w:pgSz w:w="11920" w:h="16830"/>
          <w:pgMar w:top="1430" w:right="1788" w:bottom="1644" w:left="1554" w:header="0" w:footer="132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431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17.</w:t>
      </w:r>
      <w:r>
        <w:rPr>
          <w:rFonts w:ascii="SimSun" w:hAnsi="SimSun" w:eastAsia="SimSun" w:cs="SimSun"/>
          <w:sz w:val="32"/>
          <w:szCs w:val="32"/>
          <w:spacing w:val="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宁波银行股份有限公司</w:t>
      </w:r>
    </w:p>
    <w:p>
      <w:pPr>
        <w:ind w:left="431"/>
        <w:spacing w:before="18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18.</w:t>
      </w:r>
      <w:r>
        <w:rPr>
          <w:rFonts w:ascii="SimSun" w:hAnsi="SimSun" w:eastAsia="SimSun" w:cs="SimSun"/>
          <w:sz w:val="32"/>
          <w:szCs w:val="32"/>
          <w:spacing w:val="1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成都银行股份有限公司</w:t>
      </w:r>
    </w:p>
    <w:p>
      <w:pPr>
        <w:ind w:left="431"/>
        <w:spacing w:before="22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19.</w:t>
      </w:r>
      <w:r>
        <w:rPr>
          <w:rFonts w:ascii="SimSun" w:hAnsi="SimSun" w:eastAsia="SimSun" w:cs="SimSun"/>
          <w:sz w:val="32"/>
          <w:szCs w:val="32"/>
          <w:spacing w:val="10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华夏银行股份有限公司</w:t>
      </w:r>
    </w:p>
    <w:p>
      <w:pPr>
        <w:ind w:left="431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20.</w:t>
      </w:r>
      <w:r>
        <w:rPr>
          <w:rFonts w:ascii="SimSun" w:hAnsi="SimSun" w:eastAsia="SimSun" w:cs="SimSun"/>
          <w:sz w:val="32"/>
          <w:szCs w:val="32"/>
          <w:spacing w:val="9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交通银行股份有限公司</w:t>
      </w:r>
    </w:p>
    <w:p>
      <w:pPr>
        <w:ind w:left="431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21.</w:t>
      </w:r>
      <w:r>
        <w:rPr>
          <w:rFonts w:ascii="SimSun" w:hAnsi="SimSun" w:eastAsia="SimSun" w:cs="SimSun"/>
          <w:sz w:val="32"/>
          <w:szCs w:val="32"/>
          <w:spacing w:val="10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江苏银行股份有限公司</w:t>
      </w:r>
    </w:p>
    <w:p>
      <w:pPr>
        <w:ind w:left="431"/>
        <w:spacing w:before="20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22.</w:t>
      </w:r>
      <w:r>
        <w:rPr>
          <w:rFonts w:ascii="SimSun" w:hAnsi="SimSun" w:eastAsia="SimSun" w:cs="SimSun"/>
          <w:sz w:val="32"/>
          <w:szCs w:val="32"/>
          <w:spacing w:val="9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兴业银行股份有限公司</w:t>
      </w:r>
    </w:p>
    <w:p>
      <w:pPr>
        <w:ind w:left="431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23.</w:t>
      </w:r>
      <w:r>
        <w:rPr>
          <w:rFonts w:ascii="SimSun" w:hAnsi="SimSun" w:eastAsia="SimSun" w:cs="SimSun"/>
          <w:sz w:val="32"/>
          <w:szCs w:val="32"/>
          <w:spacing w:val="9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招商银行股份有限公司</w:t>
      </w:r>
    </w:p>
    <w:p>
      <w:pPr>
        <w:ind w:left="431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24.</w:t>
      </w:r>
      <w:r>
        <w:rPr>
          <w:rFonts w:ascii="SimSun" w:hAnsi="SimSun" w:eastAsia="SimSun" w:cs="SimSun"/>
          <w:sz w:val="32"/>
          <w:szCs w:val="32"/>
          <w:spacing w:val="9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杭州银行股份有限公司</w:t>
      </w:r>
    </w:p>
    <w:p>
      <w:pPr>
        <w:ind w:left="431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25.</w:t>
      </w:r>
      <w:r>
        <w:rPr>
          <w:rFonts w:ascii="SimSun" w:hAnsi="SimSun" w:eastAsia="SimSun" w:cs="SimSun"/>
          <w:sz w:val="32"/>
          <w:szCs w:val="32"/>
          <w:spacing w:val="9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国家开发银行</w:t>
      </w:r>
    </w:p>
    <w:p>
      <w:pPr>
        <w:ind w:left="431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5"/>
        </w:rPr>
        <w:t>26. </w:t>
      </w:r>
      <w:r>
        <w:rPr>
          <w:rFonts w:ascii="FangSong" w:hAnsi="FangSong" w:eastAsia="FangSong" w:cs="FangSong"/>
          <w:sz w:val="32"/>
          <w:szCs w:val="32"/>
          <w:spacing w:val="25"/>
        </w:rPr>
        <w:t>星展银行(中国)有限公司</w:t>
      </w:r>
    </w:p>
    <w:p>
      <w:pPr>
        <w:ind w:left="431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27.</w:t>
      </w:r>
      <w:r>
        <w:rPr>
          <w:rFonts w:ascii="SimSun" w:hAnsi="SimSun" w:eastAsia="SimSun" w:cs="SimSun"/>
          <w:sz w:val="32"/>
          <w:szCs w:val="32"/>
          <w:spacing w:val="10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恒丰银行股份有限公司</w:t>
      </w:r>
    </w:p>
    <w:p>
      <w:pPr>
        <w:ind w:left="431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28.</w:t>
      </w:r>
      <w:r>
        <w:rPr>
          <w:rFonts w:ascii="SimSun" w:hAnsi="SimSun" w:eastAsia="SimSun" w:cs="SimSun"/>
          <w:sz w:val="32"/>
          <w:szCs w:val="32"/>
          <w:spacing w:val="9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珠海华润银行股份有限公司</w:t>
      </w:r>
    </w:p>
    <w:p>
      <w:pPr>
        <w:ind w:left="431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29.</w:t>
      </w:r>
      <w:r>
        <w:rPr>
          <w:rFonts w:ascii="SimSun" w:hAnsi="SimSun" w:eastAsia="SimSun" w:cs="SimSun"/>
          <w:sz w:val="32"/>
          <w:szCs w:val="32"/>
          <w:spacing w:val="9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浙商银行股份有限公司</w:t>
      </w:r>
    </w:p>
    <w:p>
      <w:pPr>
        <w:ind w:left="431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30.</w:t>
      </w:r>
      <w:r>
        <w:rPr>
          <w:rFonts w:ascii="SimSun" w:hAnsi="SimSun" w:eastAsia="SimSun" w:cs="SimSun"/>
          <w:sz w:val="32"/>
          <w:szCs w:val="32"/>
          <w:spacing w:val="10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深圳农村商业银行股份有限公司</w:t>
      </w:r>
    </w:p>
    <w:p>
      <w:pPr>
        <w:ind w:left="431"/>
        <w:spacing w:before="21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31.</w:t>
      </w:r>
      <w:r>
        <w:rPr>
          <w:rFonts w:ascii="SimSun" w:hAnsi="SimSun" w:eastAsia="SimSun" w:cs="SimSun"/>
          <w:sz w:val="32"/>
          <w:szCs w:val="32"/>
          <w:spacing w:val="10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深圳前海微众银行股份有限公司</w:t>
      </w:r>
    </w:p>
    <w:p>
      <w:pPr>
        <w:ind w:left="431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32.</w:t>
      </w:r>
      <w:r>
        <w:rPr>
          <w:rFonts w:ascii="SimSun" w:hAnsi="SimSun" w:eastAsia="SimSun" w:cs="SimSun"/>
          <w:sz w:val="32"/>
          <w:szCs w:val="32"/>
          <w:spacing w:val="10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渤海银行股份有限公司</w:t>
      </w:r>
    </w:p>
    <w:p>
      <w:pPr>
        <w:ind w:left="431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33.</w:t>
      </w:r>
      <w:r>
        <w:rPr>
          <w:rFonts w:ascii="SimSun" w:hAnsi="SimSun" w:eastAsia="SimSun" w:cs="SimSun"/>
          <w:sz w:val="32"/>
          <w:szCs w:val="32"/>
          <w:spacing w:val="25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3"/>
        </w:rPr>
        <w:t>富邦华一银行有限公司</w:t>
      </w:r>
    </w:p>
    <w:p>
      <w:pPr>
        <w:ind w:left="552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34. </w:t>
      </w:r>
      <w:r>
        <w:rPr>
          <w:rFonts w:ascii="FangSong" w:hAnsi="FangSong" w:eastAsia="FangSong" w:cs="FangSong"/>
          <w:sz w:val="32"/>
          <w:szCs w:val="32"/>
          <w:spacing w:val="-3"/>
        </w:rPr>
        <w:t>徽商银行股份有限公司</w:t>
      </w:r>
    </w:p>
    <w:p>
      <w:pPr>
        <w:ind w:left="636"/>
        <w:spacing w:before="267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"/>
        </w:rPr>
        <w:t>二、证券机构</w:t>
      </w:r>
    </w:p>
    <w:p>
      <w:pPr>
        <w:ind w:left="431"/>
        <w:spacing w:before="158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1.  </w:t>
      </w:r>
      <w:r>
        <w:rPr>
          <w:rFonts w:ascii="FangSong" w:hAnsi="FangSong" w:eastAsia="FangSong" w:cs="FangSong"/>
          <w:sz w:val="32"/>
          <w:szCs w:val="32"/>
          <w:spacing w:val="-3"/>
        </w:rPr>
        <w:t>万和证券股份有限公司</w:t>
      </w:r>
    </w:p>
    <w:p>
      <w:pPr>
        <w:ind w:left="431"/>
        <w:spacing w:before="2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2.</w:t>
      </w:r>
      <w:r>
        <w:rPr>
          <w:rFonts w:ascii="SimSun" w:hAnsi="SimSun" w:eastAsia="SimSun" w:cs="SimSun"/>
          <w:sz w:val="32"/>
          <w:szCs w:val="32"/>
          <w:spacing w:val="1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万联证券股份有限公司</w:t>
      </w:r>
    </w:p>
    <w:p>
      <w:pPr>
        <w:ind w:left="431"/>
        <w:spacing w:before="2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3.  </w:t>
      </w:r>
      <w:r>
        <w:rPr>
          <w:rFonts w:ascii="FangSong" w:hAnsi="FangSong" w:eastAsia="FangSong" w:cs="FangSong"/>
          <w:sz w:val="32"/>
          <w:szCs w:val="32"/>
          <w:spacing w:val="-3"/>
        </w:rPr>
        <w:t>天风证券股份有限公司</w:t>
      </w:r>
    </w:p>
    <w:p>
      <w:pPr>
        <w:spacing w:line="222" w:lineRule="auto"/>
        <w:sectPr>
          <w:footerReference w:type="default" r:id="rId8"/>
          <w:pgSz w:w="11920" w:h="16830"/>
          <w:pgMar w:top="1430" w:right="1352" w:bottom="1624" w:left="1788" w:header="0" w:footer="130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47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4.</w:t>
      </w:r>
      <w:r>
        <w:rPr>
          <w:rFonts w:ascii="SimSun" w:hAnsi="SimSun" w:eastAsia="SimSun" w:cs="SimSun"/>
          <w:sz w:val="31"/>
          <w:szCs w:val="31"/>
          <w:spacing w:val="10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五矿证券有限公司</w:t>
      </w:r>
    </w:p>
    <w:p>
      <w:pPr>
        <w:ind w:left="470"/>
        <w:spacing w:before="17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5.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中国国际金融股份有限公司</w:t>
      </w:r>
    </w:p>
    <w:p>
      <w:pPr>
        <w:ind w:left="470"/>
        <w:spacing w:before="2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6.</w:t>
      </w:r>
      <w:r>
        <w:rPr>
          <w:rFonts w:ascii="SimSun" w:hAnsi="SimSun" w:eastAsia="SimSun" w:cs="SimSun"/>
          <w:sz w:val="31"/>
          <w:szCs w:val="31"/>
          <w:spacing w:val="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中国银河证券股份有限公司</w:t>
      </w:r>
    </w:p>
    <w:p>
      <w:pPr>
        <w:ind w:left="470"/>
        <w:spacing w:before="21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7.</w:t>
      </w:r>
      <w:r>
        <w:rPr>
          <w:rFonts w:ascii="SimSun" w:hAnsi="SimSun" w:eastAsia="SimSun" w:cs="SimSun"/>
          <w:sz w:val="31"/>
          <w:szCs w:val="31"/>
          <w:spacing w:val="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中信证券股份有限公司</w:t>
      </w:r>
    </w:p>
    <w:p>
      <w:pPr>
        <w:ind w:left="470"/>
        <w:spacing w:before="19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8.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中银国际证券股份有限公司</w:t>
      </w:r>
    </w:p>
    <w:p>
      <w:pPr>
        <w:ind w:left="470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9.</w:t>
      </w:r>
      <w:r>
        <w:rPr>
          <w:rFonts w:ascii="SimSun" w:hAnsi="SimSun" w:eastAsia="SimSun" w:cs="SimSun"/>
          <w:sz w:val="31"/>
          <w:szCs w:val="31"/>
          <w:spacing w:val="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长城证券股份有限公司</w:t>
      </w:r>
    </w:p>
    <w:p>
      <w:pPr>
        <w:ind w:left="400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10.</w:t>
      </w:r>
      <w:r>
        <w:rPr>
          <w:rFonts w:ascii="SimSun" w:hAnsi="SimSun" w:eastAsia="SimSun" w:cs="SimSun"/>
          <w:sz w:val="31"/>
          <w:szCs w:val="31"/>
          <w:spacing w:val="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世纪证券有限责任公司</w:t>
      </w:r>
    </w:p>
    <w:p>
      <w:pPr>
        <w:ind w:left="400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11.</w:t>
      </w:r>
      <w:r>
        <w:rPr>
          <w:rFonts w:ascii="SimSun" w:hAnsi="SimSun" w:eastAsia="SimSun" w:cs="SimSun"/>
          <w:sz w:val="31"/>
          <w:szCs w:val="31"/>
          <w:spacing w:val="1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东方证券股份有限公司</w:t>
      </w:r>
    </w:p>
    <w:p>
      <w:pPr>
        <w:ind w:left="400"/>
        <w:spacing w:before="20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12.</w:t>
      </w:r>
      <w:r>
        <w:rPr>
          <w:rFonts w:ascii="SimSun" w:hAnsi="SimSun" w:eastAsia="SimSun" w:cs="SimSun"/>
          <w:sz w:val="31"/>
          <w:szCs w:val="31"/>
          <w:spacing w:val="1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东北证券股份有限公司</w:t>
      </w:r>
    </w:p>
    <w:p>
      <w:pPr>
        <w:ind w:left="400"/>
        <w:spacing w:before="2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13.</w:t>
      </w:r>
      <w:r>
        <w:rPr>
          <w:rFonts w:ascii="SimSun" w:hAnsi="SimSun" w:eastAsia="SimSun" w:cs="SimSun"/>
          <w:sz w:val="31"/>
          <w:szCs w:val="31"/>
          <w:spacing w:val="1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申万宏源证券有限公司</w:t>
      </w:r>
    </w:p>
    <w:p>
      <w:pPr>
        <w:ind w:left="400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14.</w:t>
      </w:r>
      <w:r>
        <w:rPr>
          <w:rFonts w:ascii="SimSun" w:hAnsi="SimSun" w:eastAsia="SimSun" w:cs="SimSun"/>
          <w:sz w:val="31"/>
          <w:szCs w:val="31"/>
          <w:spacing w:val="1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申港证券股份有限公司</w:t>
      </w:r>
    </w:p>
    <w:p>
      <w:pPr>
        <w:ind w:left="400"/>
        <w:spacing w:before="19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15.</w:t>
      </w:r>
      <w:r>
        <w:rPr>
          <w:rFonts w:ascii="SimSun" w:hAnsi="SimSun" w:eastAsia="SimSun" w:cs="SimSun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华创证券有限责任公司</w:t>
      </w:r>
    </w:p>
    <w:p>
      <w:pPr>
        <w:ind w:left="400"/>
        <w:spacing w:before="20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16.</w:t>
      </w:r>
      <w:r>
        <w:rPr>
          <w:rFonts w:ascii="SimSun" w:hAnsi="SimSun" w:eastAsia="SimSun" w:cs="SimSun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华泰证券股份有限公司</w:t>
      </w:r>
    </w:p>
    <w:p>
      <w:pPr>
        <w:ind w:left="400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17.</w:t>
      </w:r>
      <w:r>
        <w:rPr>
          <w:rFonts w:ascii="SimSun" w:hAnsi="SimSun" w:eastAsia="SimSun" w:cs="SimSun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华福证券有限责任公司</w:t>
      </w:r>
    </w:p>
    <w:p>
      <w:pPr>
        <w:ind w:left="470"/>
        <w:spacing w:before="23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18.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兴业证券股份有限公司</w:t>
      </w:r>
    </w:p>
    <w:p>
      <w:pPr>
        <w:ind w:left="470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19.</w:t>
      </w:r>
      <w:r>
        <w:rPr>
          <w:rFonts w:ascii="SimSun" w:hAnsi="SimSun" w:eastAsia="SimSun" w:cs="SimSun"/>
          <w:sz w:val="31"/>
          <w:szCs w:val="31"/>
          <w:spacing w:val="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招商证券股份有限公司</w:t>
      </w:r>
    </w:p>
    <w:p>
      <w:pPr>
        <w:ind w:left="470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20.</w:t>
      </w:r>
      <w:r>
        <w:rPr>
          <w:rFonts w:ascii="SimSun" w:hAnsi="SimSun" w:eastAsia="SimSun" w:cs="SimSu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英大证券有限责任公司</w:t>
      </w:r>
    </w:p>
    <w:p>
      <w:pPr>
        <w:ind w:left="470"/>
        <w:spacing w:before="21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21.</w:t>
      </w:r>
      <w:r>
        <w:rPr>
          <w:rFonts w:ascii="SimSun" w:hAnsi="SimSun" w:eastAsia="SimSun" w:cs="SimSu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国信证券股份有限公司</w:t>
      </w:r>
    </w:p>
    <w:p>
      <w:pPr>
        <w:ind w:left="470"/>
        <w:spacing w:before="22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22.</w:t>
      </w:r>
      <w:r>
        <w:rPr>
          <w:rFonts w:ascii="SimSun" w:hAnsi="SimSun" w:eastAsia="SimSun" w:cs="SimSun"/>
          <w:sz w:val="31"/>
          <w:szCs w:val="31"/>
          <w:spacing w:val="1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国海证券股份有限公司</w:t>
      </w:r>
    </w:p>
    <w:p>
      <w:pPr>
        <w:ind w:left="470"/>
        <w:spacing w:before="2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23.</w:t>
      </w:r>
      <w:r>
        <w:rPr>
          <w:rFonts w:ascii="SimSun" w:hAnsi="SimSun" w:eastAsia="SimSun" w:cs="SimSun"/>
          <w:sz w:val="31"/>
          <w:szCs w:val="31"/>
          <w:spacing w:val="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海通证券股份有限公司</w:t>
      </w:r>
    </w:p>
    <w:p>
      <w:pPr>
        <w:ind w:left="470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24.</w:t>
      </w:r>
      <w:r>
        <w:rPr>
          <w:rFonts w:ascii="SimSun" w:hAnsi="SimSun" w:eastAsia="SimSun" w:cs="SimSun"/>
          <w:sz w:val="31"/>
          <w:szCs w:val="31"/>
          <w:spacing w:val="1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第一创业证券股份有限公司</w:t>
      </w:r>
    </w:p>
    <w:p>
      <w:pPr>
        <w:spacing w:before="230" w:line="221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其中，中国工商银行股份有限公司、中国农业银行股份有限</w:t>
      </w:r>
    </w:p>
    <w:p>
      <w:pPr>
        <w:spacing w:line="221" w:lineRule="auto"/>
        <w:sectPr>
          <w:footerReference w:type="default" r:id="rId9"/>
          <w:pgSz w:w="11920" w:h="16830"/>
          <w:pgMar w:top="1430" w:right="1282" w:bottom="1594" w:left="1770" w:header="0" w:footer="127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spacing w:before="101" w:line="34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公司、中国建设银行股份有限公司、中国银行股份有限公司、中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信银行股份有限公司、交通银行股份有限公司、兴</w:t>
      </w:r>
      <w:r>
        <w:rPr>
          <w:rFonts w:ascii="FangSong" w:hAnsi="FangSong" w:eastAsia="FangSong" w:cs="FangSong"/>
          <w:sz w:val="31"/>
          <w:szCs w:val="31"/>
          <w:spacing w:val="6"/>
        </w:rPr>
        <w:t>业银行股份有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限公司、招商银行股份有限公司、中国国际金融股份有限公司、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中信证券股份有限公司、东方证券股份有限公司为主承销商。</w:t>
      </w:r>
    </w:p>
    <w:p>
      <w:pPr>
        <w:ind w:left="779"/>
        <w:spacing w:before="1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(以上排名不分先后)</w:t>
      </w:r>
    </w:p>
    <w:p>
      <w:pPr>
        <w:spacing w:line="222" w:lineRule="auto"/>
        <w:sectPr>
          <w:footerReference w:type="default" r:id="rId10"/>
          <w:pgSz w:w="12170" w:h="17010"/>
          <w:pgMar w:top="1445" w:right="1514" w:bottom="1624" w:left="1719" w:header="0" w:footer="130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434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pict>
          <v:shape id="_x0000_s2" style="position:absolute;margin-left:0.25pt;margin-top:23.5028pt;mso-position-vertical-relative:text;mso-position-horizontal-relative:text;width:444.05pt;height:0.5pt;z-index:251665408;" filled="false" strokecolor="#000000" strokeweight="0.50pt" coordsize="8880,10" coordorigin="0,0" path="m0,5l4459,5m4459,5l8880,5m0,5l4459,5m4459,5l8880,5e">
            <v:stroke joinstyle="miter" miterlimit="10"/>
          </v:shape>
        </w:pict>
      </w: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信息公开选项：主动公开</w:t>
      </w:r>
    </w:p>
    <w:p>
      <w:pPr>
        <w:spacing w:before="163" w:line="222" w:lineRule="auto"/>
        <w:jc w:val="right"/>
        <w:rPr>
          <w:rFonts w:ascii="SimSun" w:hAnsi="SimSun" w:eastAsia="SimSun" w:cs="SimSun"/>
          <w:sz w:val="30"/>
          <w:szCs w:val="30"/>
        </w:rPr>
      </w:pPr>
      <w:r>
        <w:pict>
          <v:shape id="_x0000_s4" style="position:absolute;margin-left:0.25pt;margin-top:30.2916pt;mso-position-vertical-relative:text;mso-position-horizontal-relative:text;width:444.05pt;height:0.5pt;z-index:251664384;" filled="false" strokecolor="#000000" strokeweight="0.50pt" coordsize="8880,10" coordorigin="0,0" path="m0,5l4459,5m4459,5l8880,5e">
            <v:stroke joinstyle="miter" miterlimit="10"/>
          </v:shape>
        </w:pict>
      </w:r>
      <w:r>
        <w:rPr>
          <w:rFonts w:ascii="SimSun" w:hAnsi="SimSun" w:eastAsia="SimSun" w:cs="SimSun"/>
          <w:sz w:val="30"/>
          <w:szCs w:val="30"/>
          <w:b/>
          <w:bCs/>
          <w:spacing w:val="1"/>
        </w:rPr>
        <w:t>深圳市财政局办公室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                   </w:t>
      </w:r>
      <w:r>
        <w:rPr>
          <w:rFonts w:ascii="SimSun" w:hAnsi="SimSun" w:eastAsia="SimSun" w:cs="SimSun"/>
          <w:sz w:val="30"/>
          <w:szCs w:val="30"/>
        </w:rPr>
        <w:t xml:space="preserve">  2024年6月7日印发</w:t>
      </w:r>
    </w:p>
    <w:sectPr>
      <w:footerReference w:type="default" r:id="rId11"/>
      <w:pgSz w:w="11920" w:h="16830"/>
      <w:pgMar w:top="1430" w:right="1347" w:bottom="1624" w:left="1680" w:header="0" w:footer="13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30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—10—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35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7"/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image" Target="media/image1.png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2025-12-23T11:02:15Z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2025-12-23T11:02:15</vt:filetime>
  </property>
  <property fmtid="{D5CDD505-2E9C-101B-9397-08002B2CF9AE}" pid="4" name="UsrData">
    <vt:lpwstr>694a06330c9584001f3e1c97wl</vt:lpwstr>
  </property>
</Properties>
</file>