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D11D6" w14:textId="77777777" w:rsidR="00F9531A" w:rsidRDefault="00F9531A" w:rsidP="00DD687E">
      <w:pPr>
        <w:pStyle w:val="1"/>
        <w:adjustRightInd w:val="0"/>
        <w:snapToGrid w:val="0"/>
        <w:spacing w:line="560" w:lineRule="exact"/>
        <w:rPr>
          <w:rFonts w:hint="eastAsia"/>
          <w:lang w:val="en-US"/>
        </w:rPr>
      </w:pPr>
    </w:p>
    <w:p w14:paraId="38C207CC" w14:textId="2ED73A37" w:rsidR="00F9531A" w:rsidRPr="00DD687E" w:rsidRDefault="00000000" w:rsidP="00DD687E">
      <w:pPr>
        <w:pStyle w:val="1"/>
        <w:adjustRightInd w:val="0"/>
        <w:snapToGrid w:val="0"/>
        <w:spacing w:line="560" w:lineRule="exact"/>
        <w:rPr>
          <w:rFonts w:hint="eastAsia"/>
          <w:lang w:val="en-US"/>
        </w:rPr>
      </w:pPr>
      <w:r w:rsidRPr="00DD687E">
        <w:rPr>
          <w:rFonts w:hint="eastAsia"/>
          <w:lang w:val="en-US"/>
        </w:rPr>
        <w:t>深圳市</w:t>
      </w:r>
      <w:r w:rsidR="0032614D">
        <w:rPr>
          <w:rFonts w:hint="eastAsia"/>
          <w:lang w:val="en-US"/>
        </w:rPr>
        <w:t>海洋</w:t>
      </w:r>
      <w:r w:rsidRPr="00DD687E">
        <w:rPr>
          <w:rFonts w:hint="eastAsia"/>
          <w:lang w:val="en-US"/>
        </w:rPr>
        <w:t>产业基金管理机构公开遴选</w:t>
      </w:r>
    </w:p>
    <w:p w14:paraId="06B1FAC6" w14:textId="77777777" w:rsidR="00F9531A" w:rsidRPr="00DD687E" w:rsidRDefault="00000000" w:rsidP="00DD687E">
      <w:pPr>
        <w:pStyle w:val="1"/>
        <w:adjustRightInd w:val="0"/>
        <w:snapToGrid w:val="0"/>
        <w:spacing w:line="560" w:lineRule="exact"/>
        <w:rPr>
          <w:rFonts w:hint="eastAsia"/>
          <w:lang w:val="en-US"/>
        </w:rPr>
      </w:pPr>
      <w:r w:rsidRPr="00DD687E">
        <w:rPr>
          <w:rFonts w:hint="eastAsia"/>
          <w:lang w:val="en-US"/>
        </w:rPr>
        <w:t>申报指南</w:t>
      </w:r>
    </w:p>
    <w:p w14:paraId="74EE335A" w14:textId="77777777" w:rsidR="00F9531A" w:rsidRPr="00DD687E" w:rsidRDefault="00F9531A" w:rsidP="00DD687E">
      <w:pPr>
        <w:adjustRightInd w:val="0"/>
        <w:snapToGrid w:val="0"/>
        <w:spacing w:line="560" w:lineRule="exact"/>
        <w:ind w:firstLine="640"/>
        <w:rPr>
          <w:rFonts w:hint="eastAsia"/>
          <w:lang w:val="en-US"/>
        </w:rPr>
      </w:pPr>
    </w:p>
    <w:p w14:paraId="7134F117" w14:textId="77777777" w:rsidR="00F9531A" w:rsidRPr="00DD687E" w:rsidRDefault="00000000" w:rsidP="00DD687E">
      <w:pPr>
        <w:pStyle w:val="20"/>
        <w:numPr>
          <w:ilvl w:val="0"/>
          <w:numId w:val="1"/>
        </w:numPr>
        <w:adjustRightInd w:val="0"/>
        <w:snapToGrid w:val="0"/>
        <w:spacing w:line="560" w:lineRule="exact"/>
        <w:ind w:firstLine="640"/>
        <w:rPr>
          <w:rFonts w:ascii="黑体" w:hAnsi="黑体" w:cs="黑体" w:hint="eastAsia"/>
          <w:lang w:val="en-US"/>
        </w:rPr>
      </w:pPr>
      <w:r w:rsidRPr="00DD687E">
        <w:rPr>
          <w:rFonts w:ascii="黑体" w:hAnsi="黑体" w:cs="黑体" w:hint="eastAsia"/>
          <w:lang w:val="en-US"/>
        </w:rPr>
        <w:t>基金要素</w:t>
      </w:r>
    </w:p>
    <w:p w14:paraId="1711E0B1" w14:textId="77777777" w:rsidR="00F9531A" w:rsidRPr="00DD687E" w:rsidRDefault="00000000" w:rsidP="00DD687E">
      <w:pPr>
        <w:shd w:val="clear" w:color="auto" w:fill="FFFFFF"/>
        <w:autoSpaceDE/>
        <w:autoSpaceDN/>
        <w:adjustRightInd w:val="0"/>
        <w:snapToGrid w:val="0"/>
        <w:spacing w:line="560" w:lineRule="exact"/>
        <w:ind w:firstLine="643"/>
        <w:outlineLvl w:val="1"/>
        <w:rPr>
          <w:rFonts w:hint="eastAsia"/>
          <w:b/>
          <w:bCs/>
          <w:kern w:val="2"/>
          <w:szCs w:val="32"/>
          <w:lang w:val="en-US" w:bidi="ar-SA"/>
        </w:rPr>
      </w:pPr>
      <w:r w:rsidRPr="00DD687E">
        <w:rPr>
          <w:rFonts w:hint="eastAsia"/>
          <w:b/>
          <w:bCs/>
          <w:kern w:val="2"/>
          <w:szCs w:val="32"/>
          <w:lang w:val="en-US" w:bidi="ar-SA"/>
        </w:rPr>
        <w:t>申报单位须在下列要素的基本要求上，根据自身情况，逐条提出明确、可量化、有竞争力的安排和阐述，按附件格式要求形成基金申报方案。</w:t>
      </w:r>
    </w:p>
    <w:p w14:paraId="23E597FB" w14:textId="03F4A726" w:rsidR="00F9531A" w:rsidRPr="00DD687E" w:rsidRDefault="00000000" w:rsidP="00DD687E">
      <w:pPr>
        <w:autoSpaceDE/>
        <w:autoSpaceDN/>
        <w:adjustRightInd w:val="0"/>
        <w:snapToGrid w:val="0"/>
        <w:spacing w:line="560" w:lineRule="exact"/>
        <w:ind w:firstLine="640"/>
        <w:outlineLvl w:val="1"/>
        <w:rPr>
          <w:rFonts w:ascii="楷体" w:eastAsia="楷体" w:hAnsi="楷体" w:cs="楷体" w:hint="eastAsia"/>
          <w:b/>
          <w:bCs/>
          <w:kern w:val="44"/>
          <w:szCs w:val="32"/>
          <w:lang w:val="en-US" w:bidi="ar-SA"/>
        </w:rPr>
      </w:pPr>
      <w:r w:rsidRPr="00DD687E">
        <w:rPr>
          <w:rFonts w:ascii="楷体_GB2312" w:eastAsia="楷体_GB2312" w:hAnsi="楷体_GB2312" w:cs="楷体_GB2312" w:hint="eastAsia"/>
          <w:kern w:val="44"/>
          <w:szCs w:val="32"/>
          <w:lang w:val="en-US" w:bidi="ar-SA"/>
        </w:rPr>
        <w:t>（一）基金名称：</w:t>
      </w:r>
      <w:r w:rsidRPr="00DD687E">
        <w:rPr>
          <w:rFonts w:hint="eastAsia"/>
          <w:kern w:val="2"/>
          <w:szCs w:val="32"/>
          <w:lang w:val="en-US" w:bidi="ar-SA"/>
        </w:rPr>
        <w:t>深圳市</w:t>
      </w:r>
      <w:r w:rsidR="0032614D">
        <w:rPr>
          <w:rFonts w:hint="eastAsia"/>
          <w:kern w:val="2"/>
          <w:szCs w:val="32"/>
          <w:lang w:val="en-US" w:bidi="ar-SA"/>
        </w:rPr>
        <w:t>海洋</w:t>
      </w:r>
      <w:r w:rsidRPr="00DD687E">
        <w:rPr>
          <w:rFonts w:hint="eastAsia"/>
          <w:kern w:val="2"/>
          <w:szCs w:val="32"/>
          <w:lang w:val="en-US" w:bidi="ar-SA"/>
        </w:rPr>
        <w:t>产业基金（有限合伙）（具体以商事登记为准</w:t>
      </w:r>
      <w:r w:rsidRPr="00DD687E">
        <w:rPr>
          <w:kern w:val="2"/>
          <w:szCs w:val="32"/>
          <w:lang w:val="en-US" w:bidi="ar-SA"/>
        </w:rPr>
        <w:t>)。</w:t>
      </w:r>
    </w:p>
    <w:p w14:paraId="3A043C12" w14:textId="77777777" w:rsidR="00F9531A" w:rsidRPr="00DD687E" w:rsidRDefault="00000000" w:rsidP="00DD687E">
      <w:pPr>
        <w:shd w:val="clear" w:color="auto" w:fill="FFFFFF"/>
        <w:autoSpaceDE/>
        <w:autoSpaceDN/>
        <w:adjustRightInd w:val="0"/>
        <w:snapToGrid w:val="0"/>
        <w:spacing w:line="560" w:lineRule="exact"/>
        <w:ind w:firstLine="640"/>
        <w:outlineLvl w:val="1"/>
        <w:rPr>
          <w:rFonts w:hint="eastAsia"/>
          <w:kern w:val="2"/>
          <w:szCs w:val="32"/>
          <w:lang w:val="en-US" w:bidi="ar-SA"/>
        </w:rPr>
      </w:pPr>
      <w:r w:rsidRPr="00DD687E">
        <w:rPr>
          <w:rFonts w:ascii="楷体_GB2312" w:eastAsia="楷体_GB2312" w:hAnsi="楷体_GB2312" w:cs="楷体_GB2312" w:hint="eastAsia"/>
          <w:kern w:val="44"/>
          <w:szCs w:val="32"/>
          <w:lang w:val="en-US" w:bidi="ar-SA"/>
        </w:rPr>
        <w:t>（二）基金组织类型：</w:t>
      </w:r>
      <w:r w:rsidRPr="00DD687E">
        <w:rPr>
          <w:rFonts w:hint="eastAsia"/>
          <w:kern w:val="2"/>
          <w:szCs w:val="32"/>
          <w:lang w:val="en-US" w:bidi="ar-SA"/>
        </w:rPr>
        <w:t>原则上采取有限合伙企业。</w:t>
      </w:r>
    </w:p>
    <w:p w14:paraId="4F8147BE" w14:textId="77777777" w:rsidR="00F9531A" w:rsidRPr="00DD687E" w:rsidRDefault="00000000" w:rsidP="00DD687E">
      <w:pPr>
        <w:shd w:val="clear" w:color="auto" w:fill="FFFFFF"/>
        <w:autoSpaceDE/>
        <w:autoSpaceDN/>
        <w:adjustRightInd w:val="0"/>
        <w:snapToGrid w:val="0"/>
        <w:spacing w:line="560" w:lineRule="exact"/>
        <w:ind w:firstLine="640"/>
        <w:outlineLvl w:val="1"/>
        <w:rPr>
          <w:rFonts w:ascii="楷体_GB2312" w:eastAsia="楷体_GB2312" w:hAnsi="楷体_GB2312" w:cs="楷体_GB2312" w:hint="eastAsia"/>
          <w:kern w:val="44"/>
          <w:szCs w:val="32"/>
          <w:lang w:val="en-US" w:bidi="ar-SA"/>
        </w:rPr>
      </w:pPr>
      <w:r w:rsidRPr="00DD687E">
        <w:rPr>
          <w:rFonts w:ascii="楷体_GB2312" w:eastAsia="楷体_GB2312" w:hAnsi="楷体_GB2312" w:cs="楷体_GB2312" w:hint="eastAsia"/>
          <w:kern w:val="44"/>
          <w:szCs w:val="32"/>
          <w:lang w:val="en-US" w:bidi="ar-SA"/>
        </w:rPr>
        <w:t>（三）基金规模</w:t>
      </w:r>
    </w:p>
    <w:p w14:paraId="2DAA2F9F" w14:textId="7B6C569F" w:rsidR="00F9531A" w:rsidRPr="00DD687E" w:rsidRDefault="00000000" w:rsidP="00DD687E">
      <w:pPr>
        <w:shd w:val="clear" w:color="auto" w:fill="FFFFFF"/>
        <w:autoSpaceDE/>
        <w:autoSpaceDN/>
        <w:adjustRightInd w:val="0"/>
        <w:snapToGrid w:val="0"/>
        <w:spacing w:line="560" w:lineRule="exact"/>
        <w:ind w:firstLine="640"/>
        <w:outlineLvl w:val="1"/>
        <w:rPr>
          <w:rFonts w:hint="eastAsia"/>
          <w:kern w:val="2"/>
          <w:szCs w:val="32"/>
          <w:lang w:val="en-US" w:bidi="ar-SA"/>
        </w:rPr>
      </w:pPr>
      <w:r w:rsidRPr="00DD687E">
        <w:rPr>
          <w:rFonts w:ascii="楷体_GB2312" w:eastAsia="楷体_GB2312" w:hAnsi="楷体_GB2312" w:cs="楷体_GB2312" w:hint="eastAsia"/>
          <w:kern w:val="44"/>
          <w:szCs w:val="32"/>
          <w:lang w:val="en-US" w:bidi="ar-SA"/>
        </w:rPr>
        <w:t>1.</w:t>
      </w:r>
      <w:r w:rsidR="0032614D" w:rsidRPr="0098340F">
        <w:rPr>
          <w:rFonts w:hint="eastAsia"/>
          <w:szCs w:val="32"/>
        </w:rPr>
        <w:t>基金拟设规模</w:t>
      </w:r>
      <w:r w:rsidR="00A938C7">
        <w:rPr>
          <w:rFonts w:hint="eastAsia"/>
          <w:szCs w:val="32"/>
        </w:rPr>
        <w:t>原则上</w:t>
      </w:r>
      <w:r w:rsidR="0032614D">
        <w:rPr>
          <w:rFonts w:hint="eastAsia"/>
          <w:szCs w:val="32"/>
        </w:rPr>
        <w:t>15</w:t>
      </w:r>
      <w:r w:rsidR="0032614D" w:rsidRPr="0098340F">
        <w:rPr>
          <w:rFonts w:hint="eastAsia"/>
          <w:szCs w:val="32"/>
        </w:rPr>
        <w:t>亿元</w:t>
      </w:r>
      <w:r w:rsidRPr="00DD687E">
        <w:rPr>
          <w:rFonts w:hint="eastAsia"/>
          <w:kern w:val="2"/>
          <w:szCs w:val="32"/>
          <w:lang w:val="en-US" w:bidi="ar-SA"/>
        </w:rPr>
        <w:t>，分期缴付，首次缴付出资比例视基金拟投项目总量而定。</w:t>
      </w:r>
    </w:p>
    <w:p w14:paraId="74F1BA4E" w14:textId="4B4E1BA0" w:rsidR="00F9531A" w:rsidRDefault="00000000" w:rsidP="00DD687E">
      <w:pPr>
        <w:shd w:val="clear" w:color="auto" w:fill="FFFFFF"/>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2.综合管理机构申报情况、基金资金募集等情况，可以遴选多个管理机构、设立多只基金。对</w:t>
      </w:r>
      <w:r w:rsidR="0032614D">
        <w:rPr>
          <w:rFonts w:hint="eastAsia"/>
          <w:kern w:val="2"/>
          <w:szCs w:val="32"/>
          <w:lang w:val="en-US" w:bidi="ar-SA"/>
        </w:rPr>
        <w:t>海洋</w:t>
      </w:r>
      <w:r w:rsidRPr="00DD687E">
        <w:rPr>
          <w:rFonts w:hint="eastAsia"/>
          <w:kern w:val="2"/>
          <w:szCs w:val="32"/>
          <w:lang w:val="en-US" w:bidi="ar-SA"/>
        </w:rPr>
        <w:t>领域集群的基金拟设规模</w:t>
      </w:r>
      <w:r w:rsidR="0032614D">
        <w:rPr>
          <w:rFonts w:hint="eastAsia"/>
          <w:kern w:val="2"/>
          <w:szCs w:val="32"/>
          <w:lang w:val="en-US" w:bidi="ar-SA"/>
        </w:rPr>
        <w:t>15</w:t>
      </w:r>
      <w:r w:rsidRPr="00DD687E">
        <w:rPr>
          <w:rFonts w:hint="eastAsia"/>
          <w:kern w:val="2"/>
          <w:szCs w:val="32"/>
          <w:lang w:val="en-US" w:bidi="ar-SA"/>
        </w:rPr>
        <w:t>亿元，可视申报情况调整。</w:t>
      </w:r>
    </w:p>
    <w:p w14:paraId="7885307A" w14:textId="77777777" w:rsidR="00F9531A" w:rsidRPr="00DD687E" w:rsidRDefault="00000000" w:rsidP="00DD687E">
      <w:pPr>
        <w:autoSpaceDE/>
        <w:autoSpaceDN/>
        <w:adjustRightInd w:val="0"/>
        <w:snapToGrid w:val="0"/>
        <w:spacing w:line="560" w:lineRule="exact"/>
        <w:ind w:firstLine="640"/>
        <w:rPr>
          <w:rFonts w:ascii="楷体_GB2312" w:eastAsia="楷体_GB2312" w:hAnsi="楷体_GB2312" w:cs="楷体_GB2312" w:hint="eastAsia"/>
          <w:kern w:val="44"/>
          <w:szCs w:val="32"/>
          <w:lang w:val="en-US" w:bidi="ar-SA"/>
        </w:rPr>
      </w:pPr>
      <w:r w:rsidRPr="00DD687E">
        <w:rPr>
          <w:rFonts w:ascii="楷体_GB2312" w:eastAsia="楷体_GB2312" w:hAnsi="楷体_GB2312" w:cs="楷体_GB2312" w:hint="eastAsia"/>
          <w:kern w:val="44"/>
          <w:szCs w:val="32"/>
          <w:lang w:val="en-US" w:bidi="ar-SA"/>
        </w:rPr>
        <w:t>（四）出资结构和要求</w:t>
      </w:r>
    </w:p>
    <w:p w14:paraId="28A1B920" w14:textId="77777777"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1.市、区引导基金出资不超过基金目标规模的70%，剩余部分由管理机构自行募集。其中，市引导基金出资不超过50%，区级出资由基金落地区负责统筹安排；</w:t>
      </w:r>
    </w:p>
    <w:p w14:paraId="5F47BD64" w14:textId="00E25296"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2.原则上基金所有出资方同步出资。为加快基金设立运作，</w:t>
      </w:r>
      <w:r w:rsidR="00F1052C">
        <w:rPr>
          <w:rFonts w:hint="eastAsia"/>
          <w:kern w:val="2"/>
          <w:szCs w:val="32"/>
          <w:lang w:val="en-US" w:bidi="ar-SA"/>
        </w:rPr>
        <w:t>可</w:t>
      </w:r>
      <w:r w:rsidRPr="00DD687E">
        <w:rPr>
          <w:rFonts w:hint="eastAsia"/>
          <w:kern w:val="2"/>
          <w:szCs w:val="32"/>
          <w:lang w:val="en-US" w:bidi="ar-SA"/>
        </w:rPr>
        <w:t>由市、区引导基金先行出资设立基金，但最终市、区引导基金</w:t>
      </w:r>
      <w:r w:rsidRPr="00DD687E">
        <w:rPr>
          <w:rFonts w:hint="eastAsia"/>
          <w:kern w:val="2"/>
          <w:szCs w:val="32"/>
          <w:lang w:val="en-US" w:bidi="ar-SA"/>
        </w:rPr>
        <w:lastRenderedPageBreak/>
        <w:t>和深圳国资（含区）在基金中合计出资比例原则上不得超过70%；</w:t>
      </w:r>
    </w:p>
    <w:p w14:paraId="5E398B14" w14:textId="6B890A3D"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3.允许给予社会资本募资期。社会资本募资期为自基金工商注册登记之日起最长不超过12个月，募资期内管理机构募集的资金</w:t>
      </w:r>
      <w:r w:rsidR="00A938C7">
        <w:rPr>
          <w:rFonts w:hint="eastAsia"/>
          <w:kern w:val="2"/>
          <w:szCs w:val="32"/>
          <w:lang w:val="en-US" w:bidi="ar-SA"/>
        </w:rPr>
        <w:t>原则上</w:t>
      </w:r>
      <w:r w:rsidRPr="00DD687E">
        <w:rPr>
          <w:rFonts w:hint="eastAsia"/>
          <w:kern w:val="2"/>
          <w:szCs w:val="32"/>
          <w:lang w:val="en-US" w:bidi="ar-SA"/>
        </w:rPr>
        <w:t>以平价取得基金份额；</w:t>
      </w:r>
    </w:p>
    <w:p w14:paraId="609971BA" w14:textId="77777777"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4.管理机构或与其存在关联关系的普通合伙人，单独或合计在本基金中认缴出资不低于基金备案规模的1%；</w:t>
      </w:r>
    </w:p>
    <w:p w14:paraId="79ACE93F" w14:textId="77777777"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5.管理机构提出的具体基金架构安排，应确保满足中国证券投资基金业协会（简称“中基协”）备案要求。</w:t>
      </w:r>
    </w:p>
    <w:p w14:paraId="797D1FAD" w14:textId="1CD17BDA" w:rsidR="00F9531A" w:rsidRPr="00DD687E" w:rsidRDefault="00000000" w:rsidP="00DD687E">
      <w:pPr>
        <w:shd w:val="clear" w:color="auto" w:fill="FFFFFF"/>
        <w:autoSpaceDE/>
        <w:autoSpaceDN/>
        <w:adjustRightInd w:val="0"/>
        <w:snapToGrid w:val="0"/>
        <w:spacing w:line="560" w:lineRule="exact"/>
        <w:ind w:firstLine="643"/>
        <w:outlineLvl w:val="1"/>
        <w:rPr>
          <w:rFonts w:hint="eastAsia"/>
          <w:lang w:val="en-US"/>
        </w:rPr>
      </w:pPr>
      <w:r w:rsidRPr="00DD687E">
        <w:rPr>
          <w:rFonts w:hint="eastAsia"/>
          <w:b/>
          <w:bCs/>
          <w:kern w:val="2"/>
          <w:szCs w:val="32"/>
          <w:lang w:val="en-US" w:bidi="ar-SA"/>
        </w:rPr>
        <w:t>提示：</w:t>
      </w:r>
      <w:r w:rsidRPr="00DD687E">
        <w:rPr>
          <w:rFonts w:hint="eastAsia"/>
          <w:kern w:val="2"/>
          <w:szCs w:val="32"/>
          <w:lang w:val="en-US" w:bidi="ar-SA"/>
        </w:rPr>
        <w:t>申报机构应提出完整详细的基金出资结构与募资时间安排。</w:t>
      </w:r>
      <w:r w:rsidRPr="00DD687E">
        <w:rPr>
          <w:rFonts w:hint="eastAsia"/>
          <w:lang w:val="en-US"/>
        </w:rPr>
        <w:t>鼓励募集更高比例社会资本、加大管理机构或与其存在关联关系的普通合伙人的认缴出资</w:t>
      </w:r>
      <w:r w:rsidR="00A23902">
        <w:rPr>
          <w:rFonts w:hint="eastAsia"/>
          <w:lang w:val="en-US"/>
        </w:rPr>
        <w:t>；鼓励产业方或管理机构及其关联方以自有资金出资</w:t>
      </w:r>
      <w:r w:rsidRPr="00DD687E">
        <w:rPr>
          <w:rFonts w:hint="eastAsia"/>
          <w:lang w:val="en-US"/>
        </w:rPr>
        <w:t>。以上将作为遴选评审的考量因素之一。</w:t>
      </w:r>
    </w:p>
    <w:p w14:paraId="5035318C" w14:textId="77777777" w:rsidR="00F9531A" w:rsidRPr="00DD687E" w:rsidRDefault="00000000" w:rsidP="00DD687E">
      <w:pPr>
        <w:keepNext/>
        <w:keepLines/>
        <w:adjustRightInd w:val="0"/>
        <w:snapToGrid w:val="0"/>
        <w:spacing w:line="560" w:lineRule="exact"/>
        <w:ind w:firstLine="640"/>
        <w:outlineLvl w:val="2"/>
        <w:rPr>
          <w:rFonts w:hint="eastAsia"/>
          <w:kern w:val="2"/>
          <w:szCs w:val="32"/>
          <w:lang w:val="en-US" w:bidi="ar-SA"/>
        </w:rPr>
      </w:pPr>
      <w:r w:rsidRPr="00DD687E">
        <w:rPr>
          <w:rFonts w:eastAsia="楷体_GB2312" w:hint="eastAsia"/>
          <w:lang w:val="en-US"/>
        </w:rPr>
        <w:t>（五）存续期限：</w:t>
      </w:r>
      <w:r w:rsidRPr="00DD687E">
        <w:rPr>
          <w:rFonts w:hint="eastAsia"/>
          <w:kern w:val="2"/>
          <w:szCs w:val="32"/>
          <w:lang w:val="en-US" w:bidi="ar-SA"/>
        </w:rPr>
        <w:t>基金存续期不超过12年（含投资期、退出期、延长期）。</w:t>
      </w:r>
    </w:p>
    <w:p w14:paraId="23BAB1E3" w14:textId="218F04EB" w:rsidR="00F9531A" w:rsidRPr="00DD687E" w:rsidRDefault="00000000" w:rsidP="00DD687E">
      <w:pPr>
        <w:keepNext/>
        <w:keepLines/>
        <w:adjustRightInd w:val="0"/>
        <w:snapToGrid w:val="0"/>
        <w:spacing w:line="560" w:lineRule="exact"/>
        <w:ind w:firstLine="640"/>
        <w:outlineLvl w:val="2"/>
        <w:rPr>
          <w:rFonts w:hint="eastAsia"/>
          <w:lang w:val="en-US"/>
        </w:rPr>
      </w:pPr>
      <w:r w:rsidRPr="00DD687E">
        <w:rPr>
          <w:rFonts w:eastAsia="楷体_GB2312" w:hint="eastAsia"/>
          <w:lang w:val="en-US"/>
        </w:rPr>
        <w:t>（六）投资领域：</w:t>
      </w:r>
      <w:r w:rsidRPr="00DD687E">
        <w:rPr>
          <w:rFonts w:hint="eastAsia"/>
          <w:lang w:val="en-US"/>
        </w:rPr>
        <w:t>基金可投金额应100%投资于</w:t>
      </w:r>
      <w:r w:rsidR="0032614D">
        <w:rPr>
          <w:rFonts w:hint="eastAsia"/>
          <w:lang w:val="en-US"/>
        </w:rPr>
        <w:t>海洋</w:t>
      </w:r>
      <w:r w:rsidRPr="00DD687E">
        <w:rPr>
          <w:rFonts w:hint="eastAsia"/>
          <w:lang w:val="en-US"/>
        </w:rPr>
        <w:t>领域，基金投资领域主要包括：</w:t>
      </w:r>
    </w:p>
    <w:p w14:paraId="63C88661" w14:textId="77777777" w:rsidR="00794380" w:rsidRDefault="00794380" w:rsidP="00794380">
      <w:pPr>
        <w:ind w:firstLine="640"/>
        <w:rPr>
          <w:rFonts w:hint="eastAsia"/>
          <w:szCs w:val="32"/>
        </w:rPr>
      </w:pPr>
      <w:r>
        <w:rPr>
          <w:rFonts w:hint="eastAsia"/>
          <w:szCs w:val="32"/>
        </w:rPr>
        <w:t>1.海洋高端装备</w:t>
      </w:r>
      <w:r>
        <w:rPr>
          <w:szCs w:val="32"/>
        </w:rPr>
        <w:t>。新能源船舶、无人船艇、无人潜航器等新兴海洋装备；电力推进系统、清洁燃料动力系统及加载设施、船舶充换电设施、压载水处理装置等关键配套设备与系统；船海电子电气设备、自动化系统等船海高端配套设备与系统。</w:t>
      </w:r>
    </w:p>
    <w:p w14:paraId="1ED8217D" w14:textId="77777777" w:rsidR="00794380" w:rsidRDefault="00794380" w:rsidP="00794380">
      <w:pPr>
        <w:ind w:firstLine="640"/>
        <w:rPr>
          <w:rFonts w:hint="eastAsia"/>
          <w:szCs w:val="32"/>
        </w:rPr>
      </w:pPr>
      <w:r>
        <w:rPr>
          <w:rFonts w:hint="eastAsia"/>
          <w:szCs w:val="32"/>
        </w:rPr>
        <w:t>水下采油树、水下防喷器、水下控制系统、动态脐带缆等海洋工程关键配套设备与系统；天然气水合物勘探及开采关键配套设备与系统；水下监测及运维机器人、深海采矿及作业机器人等</w:t>
      </w:r>
      <w:r>
        <w:rPr>
          <w:rFonts w:hint="eastAsia"/>
          <w:szCs w:val="32"/>
        </w:rPr>
        <w:lastRenderedPageBreak/>
        <w:t>海洋高端装备。</w:t>
      </w:r>
    </w:p>
    <w:p w14:paraId="6489819D" w14:textId="77777777" w:rsidR="00794380" w:rsidRDefault="00794380" w:rsidP="00794380">
      <w:pPr>
        <w:ind w:firstLine="640"/>
        <w:rPr>
          <w:rFonts w:hint="eastAsia"/>
          <w:szCs w:val="32"/>
        </w:rPr>
      </w:pPr>
      <w:r>
        <w:rPr>
          <w:rFonts w:hint="eastAsia"/>
          <w:szCs w:val="32"/>
        </w:rPr>
        <w:t>2.</w:t>
      </w:r>
      <w:r>
        <w:rPr>
          <w:szCs w:val="32"/>
        </w:rPr>
        <w:t>海洋电子信息。海洋浮标、潜标、声呐、海上雷达等海洋感知设备与系统；甚高频数据交换系统及设备（VDES）、水声通信与换能器等船舶、水下和卫星通信、卫星遥感关键系统与设备；船载北斗导航、惯性导航、组合导航等海洋导航系统与设备；海洋防灾减害监测关键技术及设备，灾害数据收集与处理系统及设备；港口及航运智能化系统；海洋大数据与垂直应用模型、数字孪生等智慧海洋关键技术。</w:t>
      </w:r>
    </w:p>
    <w:p w14:paraId="0A3E4FA3" w14:textId="77777777" w:rsidR="00794380" w:rsidRDefault="00794380" w:rsidP="00794380">
      <w:pPr>
        <w:ind w:firstLine="640"/>
        <w:rPr>
          <w:rFonts w:hint="eastAsia"/>
          <w:szCs w:val="32"/>
        </w:rPr>
      </w:pPr>
      <w:r>
        <w:rPr>
          <w:rFonts w:hint="eastAsia"/>
          <w:szCs w:val="32"/>
        </w:rPr>
        <w:t>3.现代渔业。远洋渔船数字化装备和技术；现代化养殖设施、海上综合渔业平台等现代渔业装备和技术，功能性产品开发。</w:t>
      </w:r>
    </w:p>
    <w:p w14:paraId="52570E89" w14:textId="77777777" w:rsidR="00F9531A" w:rsidRPr="00DD687E" w:rsidRDefault="00000000" w:rsidP="00DD687E">
      <w:pPr>
        <w:keepNext/>
        <w:keepLines/>
        <w:adjustRightInd w:val="0"/>
        <w:snapToGrid w:val="0"/>
        <w:spacing w:line="560" w:lineRule="exact"/>
        <w:ind w:firstLine="640"/>
        <w:outlineLvl w:val="2"/>
        <w:rPr>
          <w:rFonts w:hint="eastAsia"/>
          <w:lang w:val="en-US"/>
        </w:rPr>
      </w:pPr>
      <w:r w:rsidRPr="00DD687E">
        <w:rPr>
          <w:rFonts w:eastAsia="楷体_GB2312" w:hint="eastAsia"/>
          <w:lang w:val="en-US"/>
        </w:rPr>
        <w:t>（七）投资方式：</w:t>
      </w:r>
      <w:r w:rsidRPr="00DD687E">
        <w:rPr>
          <w:rFonts w:hint="eastAsia"/>
          <w:lang w:val="en-US"/>
        </w:rPr>
        <w:t>非上市公司股权投资及以战略入股为目的的上市公司定向增发、以股权投资为目的的可转债。</w:t>
      </w:r>
    </w:p>
    <w:p w14:paraId="70D58F82"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t>（八）基金</w:t>
      </w:r>
      <w:r w:rsidRPr="00DD687E">
        <w:rPr>
          <w:rFonts w:eastAsia="楷体_GB2312"/>
          <w:lang w:val="en-US"/>
        </w:rPr>
        <w:t>运营费用</w:t>
      </w:r>
    </w:p>
    <w:p w14:paraId="4BEF6417"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1.标准管理费：投资期内，每年按不超过实缴金额扣除已收回本金后的2%收取；退出期内，每年按不超过已投未退金额的1.5%收取；延长期不收取管理费。</w:t>
      </w:r>
    </w:p>
    <w:p w14:paraId="39DF958E"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2.基金实际管理费与绩效评价结果挂钩，根据绩效评价结果浮动。基金运营过程中发生的与投资项目相关的考察和尽调等费用由基金管理人承担。</w:t>
      </w:r>
    </w:p>
    <w:p w14:paraId="51794233" w14:textId="2737E36A" w:rsidR="00F9531A" w:rsidRPr="00DD687E" w:rsidRDefault="00000000" w:rsidP="00DD687E">
      <w:pPr>
        <w:adjustRightInd w:val="0"/>
        <w:snapToGrid w:val="0"/>
        <w:spacing w:line="560" w:lineRule="exact"/>
        <w:ind w:firstLine="643"/>
        <w:rPr>
          <w:rFonts w:hint="eastAsia"/>
          <w:lang w:val="en-US"/>
        </w:rPr>
      </w:pPr>
      <w:r w:rsidRPr="00DD687E">
        <w:rPr>
          <w:rFonts w:hint="eastAsia"/>
          <w:b/>
          <w:bCs/>
          <w:lang w:val="en-US"/>
        </w:rPr>
        <w:t>提示：</w:t>
      </w:r>
      <w:r w:rsidRPr="00DD687E">
        <w:rPr>
          <w:rFonts w:hint="eastAsia"/>
          <w:lang w:val="en-US"/>
        </w:rPr>
        <w:t>鼓励管理机构提出更有竞争力的管理费率。管理费率将作为遴选评审的考量因素之一。</w:t>
      </w:r>
    </w:p>
    <w:p w14:paraId="33ED81A9"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t>（九）收益分配方式</w:t>
      </w:r>
    </w:p>
    <w:p w14:paraId="3993EFC9"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按照“基金整体先回本后分利，退出项目即退即分”原则进</w:t>
      </w:r>
      <w:r w:rsidRPr="00DD687E">
        <w:rPr>
          <w:rFonts w:hint="eastAsia"/>
          <w:lang w:val="en-US"/>
        </w:rPr>
        <w:lastRenderedPageBreak/>
        <w:t>行分配。基金整体实现退出时，应优先向有限合伙人按照实缴出资比例返还实缴出资金额，再向普通合伙人返还实缴出资金额。如有超额收益，超额收益的80%向有限合伙人分配，20%向普通合伙人分配。</w:t>
      </w:r>
    </w:p>
    <w:p w14:paraId="164ADE95" w14:textId="57D8AD92" w:rsidR="00F9531A" w:rsidRPr="00DD687E" w:rsidRDefault="00000000" w:rsidP="00DD687E">
      <w:pPr>
        <w:adjustRightInd w:val="0"/>
        <w:snapToGrid w:val="0"/>
        <w:spacing w:line="560" w:lineRule="exact"/>
        <w:ind w:firstLine="643"/>
        <w:rPr>
          <w:rFonts w:hint="eastAsia"/>
          <w:lang w:val="en-US"/>
        </w:rPr>
      </w:pPr>
      <w:r w:rsidRPr="00DD687E">
        <w:rPr>
          <w:rFonts w:hint="eastAsia"/>
          <w:b/>
          <w:bCs/>
          <w:lang w:val="en-US"/>
        </w:rPr>
        <w:t>提示：</w:t>
      </w:r>
      <w:r w:rsidRPr="00DD687E">
        <w:rPr>
          <w:rFonts w:hint="eastAsia"/>
          <w:lang w:val="en-US"/>
        </w:rPr>
        <w:t>鼓励管理机构提出更有竞争力的具体收益分配方式。收益分配方式将作为遴选评审的考量因素之一。</w:t>
      </w:r>
    </w:p>
    <w:p w14:paraId="5149B732"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t>（十）政策目标</w:t>
      </w:r>
    </w:p>
    <w:p w14:paraId="1405D46E" w14:textId="77777777" w:rsidR="00F9531A" w:rsidRPr="00DD687E" w:rsidRDefault="00000000" w:rsidP="00DD687E">
      <w:pPr>
        <w:keepNext/>
        <w:keepLines/>
        <w:adjustRightInd w:val="0"/>
        <w:snapToGrid w:val="0"/>
        <w:spacing w:line="560" w:lineRule="exact"/>
        <w:ind w:firstLine="643"/>
        <w:outlineLvl w:val="3"/>
        <w:rPr>
          <w:rFonts w:hint="eastAsia"/>
          <w:b/>
          <w:lang w:val="en-US"/>
        </w:rPr>
      </w:pPr>
      <w:r w:rsidRPr="00DD687E">
        <w:rPr>
          <w:rFonts w:hint="eastAsia"/>
          <w:b/>
          <w:lang w:val="en-US"/>
        </w:rPr>
        <w:t>1.投资要求：</w:t>
      </w:r>
    </w:p>
    <w:p w14:paraId="3EB33C94" w14:textId="27FD86A4"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在基金存续期内，本基金和纳入认定范围的投资，合计投资深圳金额不低于本基金实缴规模的100%。其中，投资于出资区的金额不低于其出资额的1.5倍。</w:t>
      </w:r>
    </w:p>
    <w:p w14:paraId="478AF59A" w14:textId="77777777" w:rsidR="00F9531A" w:rsidRPr="00DD687E" w:rsidRDefault="00000000" w:rsidP="00DD687E">
      <w:pPr>
        <w:adjustRightInd w:val="0"/>
        <w:snapToGrid w:val="0"/>
        <w:spacing w:line="560" w:lineRule="exact"/>
        <w:ind w:firstLine="643"/>
        <w:rPr>
          <w:rFonts w:hint="eastAsia"/>
          <w:b/>
          <w:bCs/>
          <w:lang w:val="en-US"/>
        </w:rPr>
      </w:pPr>
      <w:r w:rsidRPr="00DD687E">
        <w:rPr>
          <w:rFonts w:hint="eastAsia"/>
          <w:b/>
          <w:bCs/>
          <w:lang w:val="en-US"/>
        </w:rPr>
        <w:t>2.投资要求认定范围：</w:t>
      </w:r>
    </w:p>
    <w:p w14:paraId="38FCE019"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（1）自基金投资至基金完全退出前，被投企业：</w:t>
      </w:r>
    </w:p>
    <w:p w14:paraId="582E000A"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①注册于深圳市的，按基金实际投资金额1倍计算；</w:t>
      </w:r>
    </w:p>
    <w:p w14:paraId="77C45B1E" w14:textId="53C42BFC"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②未注册在深圳</w:t>
      </w:r>
      <w:r w:rsidR="006A0DCF">
        <w:rPr>
          <w:rFonts w:hint="eastAsia"/>
          <w:lang w:val="en-US"/>
        </w:rPr>
        <w:t>市</w:t>
      </w:r>
      <w:r w:rsidRPr="00DD687E">
        <w:rPr>
          <w:rFonts w:hint="eastAsia"/>
          <w:lang w:val="en-US"/>
        </w:rPr>
        <w:t>的，投资后迁移至深圳市，按基金实际投资金额1.5倍计算；</w:t>
      </w:r>
    </w:p>
    <w:p w14:paraId="42E885C9" w14:textId="27D83C9D"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③未注册在深圳</w:t>
      </w:r>
      <w:r w:rsidR="006A0DCF">
        <w:rPr>
          <w:rFonts w:hint="eastAsia"/>
          <w:lang w:val="en-US"/>
        </w:rPr>
        <w:t>市</w:t>
      </w:r>
      <w:r w:rsidRPr="00DD687E">
        <w:rPr>
          <w:rFonts w:hint="eastAsia"/>
          <w:lang w:val="en-US"/>
        </w:rPr>
        <w:t>的，投资后在深圳市设立子公司、区域总部、生产研发基地等，按被投企业对该等子公司、区域总部、生产研发基地实际投资金额1倍计算；</w:t>
      </w:r>
    </w:p>
    <w:p w14:paraId="6D613B78" w14:textId="4F2692A2"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自基金成立之日起，管理机构或普通合伙人的关联方，在深圳市主动布局的在投资领域范围内的产业项目，在深圳市新设企业、迁入企业、追加投资等，且未被市、区引导基金认定为其他基金返投项目的，可以按实际投资深圳金额50%比例纳入投</w:t>
      </w:r>
      <w:r w:rsidRPr="00DD687E">
        <w:rPr>
          <w:rFonts w:hint="eastAsia"/>
          <w:lang w:val="en-US"/>
        </w:rPr>
        <w:lastRenderedPageBreak/>
        <w:t>资认定范围；但关联方纳入认定范围的金额，不得超过本基金实缴规模的50%。</w:t>
      </w:r>
    </w:p>
    <w:p w14:paraId="4633676D"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（3）纳入认定范围的投资，不得重复认定。</w:t>
      </w:r>
    </w:p>
    <w:p w14:paraId="3D138BC0" w14:textId="4D0AC5A1" w:rsidR="00F9531A" w:rsidRPr="00DD687E" w:rsidRDefault="00000000" w:rsidP="00DD687E">
      <w:pPr>
        <w:adjustRightInd w:val="0"/>
        <w:snapToGrid w:val="0"/>
        <w:spacing w:line="560" w:lineRule="exact"/>
        <w:ind w:firstLine="643"/>
        <w:rPr>
          <w:rFonts w:hint="eastAsia"/>
          <w:lang w:val="en-US"/>
        </w:rPr>
      </w:pPr>
      <w:r w:rsidRPr="00DD687E">
        <w:rPr>
          <w:rFonts w:hint="eastAsia"/>
          <w:b/>
          <w:bCs/>
          <w:lang w:val="en-US"/>
        </w:rPr>
        <w:t>提示：</w:t>
      </w:r>
      <w:r w:rsidRPr="00DD687E">
        <w:rPr>
          <w:rFonts w:hint="eastAsia"/>
          <w:lang w:val="en-US"/>
        </w:rPr>
        <w:t>鼓励管理机构提出更有竞争力的投资要求目标。投资要求将作为遴选评审的考量因素之一。</w:t>
      </w:r>
    </w:p>
    <w:p w14:paraId="31E525B5" w14:textId="314C8915" w:rsidR="00F9531A" w:rsidRPr="00DD687E" w:rsidRDefault="00000000" w:rsidP="00DD687E">
      <w:pPr>
        <w:keepNext/>
        <w:keepLines/>
        <w:adjustRightInd w:val="0"/>
        <w:snapToGrid w:val="0"/>
        <w:spacing w:line="560" w:lineRule="exact"/>
        <w:ind w:firstLine="643"/>
        <w:outlineLvl w:val="3"/>
        <w:rPr>
          <w:rFonts w:hint="eastAsia"/>
          <w:b/>
          <w:lang w:val="en-US"/>
        </w:rPr>
      </w:pPr>
      <w:r w:rsidRPr="00DD687E">
        <w:rPr>
          <w:rFonts w:hint="eastAsia"/>
          <w:b/>
          <w:lang w:val="en-US"/>
        </w:rPr>
        <w:t>3.产业贡献指标</w:t>
      </w:r>
    </w:p>
    <w:p w14:paraId="3EE46C3E" w14:textId="6033AB11" w:rsidR="00F9531A" w:rsidRPr="00DD687E" w:rsidRDefault="00000000" w:rsidP="00DD687E">
      <w:pPr>
        <w:autoSpaceDE/>
        <w:autoSpaceDN/>
        <w:adjustRightInd w:val="0"/>
        <w:snapToGrid w:val="0"/>
        <w:spacing w:line="560" w:lineRule="exact"/>
        <w:ind w:firstLine="640"/>
        <w:rPr>
          <w:rFonts w:hint="eastAsia"/>
          <w:kern w:val="2"/>
          <w:szCs w:val="32"/>
          <w:lang w:val="en-US" w:bidi="ar-SA"/>
        </w:rPr>
      </w:pPr>
      <w:r w:rsidRPr="00DD687E">
        <w:rPr>
          <w:rFonts w:hint="eastAsia"/>
          <w:kern w:val="2"/>
          <w:szCs w:val="32"/>
          <w:lang w:val="en-US" w:bidi="ar-SA"/>
        </w:rPr>
        <w:t>管理机构须在申报方案中分别就以下5个方面提出产业贡献指标：</w:t>
      </w:r>
    </w:p>
    <w:p w14:paraId="5C19580B" w14:textId="77777777" w:rsidR="00F9531A" w:rsidRPr="00DD687E" w:rsidRDefault="00000000" w:rsidP="00DD687E">
      <w:pPr>
        <w:tabs>
          <w:tab w:val="left" w:pos="1307"/>
        </w:tabs>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（1）培育专精特新“小巨人”企业、“单项冠军”企业、独角兽企业、上市企业、营收或销售额在行业内排名前10企业数量；</w:t>
      </w:r>
    </w:p>
    <w:p w14:paraId="53538FD0" w14:textId="77777777" w:rsidR="00F9531A" w:rsidRPr="00DD687E" w:rsidRDefault="00000000" w:rsidP="00DD687E">
      <w:pPr>
        <w:tabs>
          <w:tab w:val="left" w:pos="1307"/>
        </w:tabs>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（2）培育省级专精特新企业、准独角兽企业、牛羚/瞪羚企业、营收或销售额在行业内排名前30企业数量；</w:t>
      </w:r>
    </w:p>
    <w:p w14:paraId="47C0F508" w14:textId="77777777" w:rsidR="00F9531A" w:rsidRPr="00DD687E" w:rsidRDefault="00000000" w:rsidP="00DD687E">
      <w:pPr>
        <w:tabs>
          <w:tab w:val="left" w:pos="1307"/>
        </w:tabs>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（3）实现国产化替代、关键重大技术突破的数量；</w:t>
      </w:r>
    </w:p>
    <w:p w14:paraId="5084FEE9" w14:textId="77777777" w:rsidR="00F9531A" w:rsidRPr="00DD687E" w:rsidRDefault="00000000" w:rsidP="00DD687E">
      <w:pPr>
        <w:tabs>
          <w:tab w:val="left" w:pos="1307"/>
        </w:tabs>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（4）首台（套）、首批次技术装备应用数量；</w:t>
      </w:r>
    </w:p>
    <w:p w14:paraId="193403AB" w14:textId="77777777" w:rsidR="00F9531A" w:rsidRPr="00DD687E" w:rsidRDefault="00000000" w:rsidP="00DD687E">
      <w:pPr>
        <w:tabs>
          <w:tab w:val="left" w:pos="1307"/>
        </w:tabs>
        <w:autoSpaceDE/>
        <w:autoSpaceDN/>
        <w:adjustRightInd w:val="0"/>
        <w:snapToGrid w:val="0"/>
        <w:spacing w:line="560" w:lineRule="exact"/>
        <w:ind w:firstLine="640"/>
        <w:jc w:val="left"/>
        <w:outlineLvl w:val="1"/>
        <w:rPr>
          <w:rFonts w:hint="eastAsia"/>
          <w:kern w:val="2"/>
          <w:szCs w:val="32"/>
          <w:lang w:val="en-US" w:bidi="ar-SA"/>
        </w:rPr>
      </w:pPr>
      <w:r w:rsidRPr="00DD687E">
        <w:rPr>
          <w:rFonts w:hint="eastAsia"/>
          <w:kern w:val="2"/>
          <w:szCs w:val="32"/>
          <w:lang w:val="en-US" w:bidi="ar-SA"/>
        </w:rPr>
        <w:t>（5）投早、投小企业数量（按国家中小企业发展基金“522”标准界定）。</w:t>
      </w:r>
    </w:p>
    <w:p w14:paraId="7B7D747C" w14:textId="2B89201B" w:rsidR="00F9531A" w:rsidRPr="00DD687E" w:rsidRDefault="00000000" w:rsidP="00DD687E">
      <w:pPr>
        <w:tabs>
          <w:tab w:val="left" w:pos="1307"/>
        </w:tabs>
        <w:autoSpaceDE/>
        <w:autoSpaceDN/>
        <w:adjustRightInd w:val="0"/>
        <w:snapToGrid w:val="0"/>
        <w:spacing w:line="560" w:lineRule="exact"/>
        <w:ind w:firstLine="643"/>
        <w:jc w:val="left"/>
        <w:outlineLvl w:val="1"/>
        <w:rPr>
          <w:rFonts w:hint="eastAsia"/>
          <w:lang w:val="en-US"/>
        </w:rPr>
      </w:pPr>
      <w:r w:rsidRPr="00DD687E">
        <w:rPr>
          <w:rFonts w:hint="eastAsia"/>
          <w:b/>
          <w:bCs/>
          <w:kern w:val="2"/>
          <w:szCs w:val="32"/>
          <w:lang w:val="en-US" w:bidi="ar-SA"/>
        </w:rPr>
        <w:t>提示：</w:t>
      </w:r>
      <w:r w:rsidRPr="00DD687E">
        <w:rPr>
          <w:rFonts w:hint="eastAsia"/>
          <w:kern w:val="2"/>
          <w:szCs w:val="32"/>
          <w:lang w:val="en-US" w:bidi="ar-SA"/>
        </w:rPr>
        <w:t>鼓励管理机构在上述基础上提出其它具体的、可量化、可验证的</w:t>
      </w:r>
      <w:r w:rsidR="00A23902">
        <w:rPr>
          <w:rFonts w:hint="eastAsia"/>
          <w:kern w:val="2"/>
          <w:szCs w:val="32"/>
          <w:lang w:val="en-US" w:bidi="ar-SA"/>
        </w:rPr>
        <w:t>额外</w:t>
      </w:r>
      <w:r w:rsidRPr="00DD687E">
        <w:rPr>
          <w:rFonts w:hint="eastAsia"/>
          <w:kern w:val="2"/>
          <w:szCs w:val="32"/>
          <w:lang w:val="en-US" w:bidi="ar-SA"/>
        </w:rPr>
        <w:t>产业贡献指标。产业贡献指标</w:t>
      </w:r>
      <w:r w:rsidRPr="00DD687E">
        <w:rPr>
          <w:rFonts w:hint="eastAsia"/>
          <w:lang w:val="en-US"/>
        </w:rPr>
        <w:t>将作为遴选评审的考量因素之一。</w:t>
      </w:r>
    </w:p>
    <w:p w14:paraId="16EAB030" w14:textId="7CD02E28" w:rsidR="00F9531A" w:rsidRPr="00DD687E" w:rsidRDefault="00000000" w:rsidP="00DD687E">
      <w:pPr>
        <w:tabs>
          <w:tab w:val="left" w:pos="1307"/>
        </w:tabs>
        <w:autoSpaceDE/>
        <w:autoSpaceDN/>
        <w:adjustRightInd w:val="0"/>
        <w:snapToGrid w:val="0"/>
        <w:spacing w:line="560" w:lineRule="exact"/>
        <w:ind w:firstLine="643"/>
        <w:outlineLvl w:val="1"/>
        <w:rPr>
          <w:rFonts w:hint="eastAsia"/>
          <w:b/>
          <w:bCs/>
          <w:kern w:val="2"/>
          <w:szCs w:val="32"/>
          <w:lang w:val="en-US" w:bidi="ar-SA"/>
        </w:rPr>
      </w:pPr>
      <w:r w:rsidRPr="00DD687E">
        <w:rPr>
          <w:rFonts w:hint="eastAsia"/>
          <w:b/>
          <w:bCs/>
          <w:kern w:val="2"/>
          <w:szCs w:val="32"/>
          <w:lang w:val="en-US" w:bidi="ar-SA"/>
        </w:rPr>
        <w:t>4.投资战略性项目</w:t>
      </w:r>
    </w:p>
    <w:p w14:paraId="4475CDB8" w14:textId="13B93EB0" w:rsidR="00F9531A" w:rsidRPr="00DD687E" w:rsidRDefault="00000000" w:rsidP="00DD687E">
      <w:pPr>
        <w:tabs>
          <w:tab w:val="left" w:pos="1307"/>
        </w:tabs>
        <w:autoSpaceDE/>
        <w:autoSpaceDN/>
        <w:adjustRightInd w:val="0"/>
        <w:snapToGrid w:val="0"/>
        <w:spacing w:line="560" w:lineRule="exact"/>
        <w:ind w:firstLine="640"/>
        <w:outlineLvl w:val="1"/>
        <w:rPr>
          <w:rFonts w:hint="eastAsia"/>
          <w:kern w:val="2"/>
          <w:szCs w:val="32"/>
          <w:lang w:val="en-US" w:bidi="ar-SA"/>
        </w:rPr>
      </w:pPr>
      <w:r w:rsidRPr="00DD687E">
        <w:rPr>
          <w:rFonts w:hint="eastAsia"/>
          <w:kern w:val="2"/>
          <w:szCs w:val="32"/>
          <w:lang w:val="en-US" w:bidi="ar-SA"/>
        </w:rPr>
        <w:t>鼓励基金投资战略性项目并明确相应比例。战略性项目指由基金主管部门向管理机构书面明确的项目或管理机构向基金主</w:t>
      </w:r>
      <w:r w:rsidRPr="00DD687E">
        <w:rPr>
          <w:rFonts w:hint="eastAsia"/>
          <w:kern w:val="2"/>
          <w:szCs w:val="32"/>
          <w:lang w:val="en-US" w:bidi="ar-SA"/>
        </w:rPr>
        <w:lastRenderedPageBreak/>
        <w:t>管部门提出并经书面认定的项目等。</w:t>
      </w:r>
    </w:p>
    <w:p w14:paraId="7661F318" w14:textId="60FF4CED" w:rsidR="00F9531A" w:rsidRPr="00DD687E" w:rsidRDefault="00000000" w:rsidP="00DD687E">
      <w:pPr>
        <w:tabs>
          <w:tab w:val="left" w:pos="1307"/>
        </w:tabs>
        <w:autoSpaceDE/>
        <w:autoSpaceDN/>
        <w:adjustRightInd w:val="0"/>
        <w:snapToGrid w:val="0"/>
        <w:spacing w:line="560" w:lineRule="exact"/>
        <w:ind w:firstLine="643"/>
        <w:outlineLvl w:val="1"/>
        <w:rPr>
          <w:rFonts w:hint="eastAsia"/>
          <w:kern w:val="2"/>
          <w:szCs w:val="32"/>
          <w:lang w:val="en-US" w:bidi="ar-SA"/>
        </w:rPr>
      </w:pPr>
      <w:r w:rsidRPr="00DD687E">
        <w:rPr>
          <w:rFonts w:hint="eastAsia"/>
          <w:b/>
          <w:bCs/>
          <w:kern w:val="2"/>
          <w:szCs w:val="32"/>
          <w:lang w:val="en-US" w:bidi="ar-SA"/>
        </w:rPr>
        <w:t>提示：</w:t>
      </w:r>
      <w:r w:rsidRPr="00DD687E">
        <w:rPr>
          <w:rFonts w:hint="eastAsia"/>
          <w:kern w:val="2"/>
          <w:szCs w:val="32"/>
          <w:lang w:val="en-US" w:bidi="ar-SA"/>
        </w:rPr>
        <w:t>基金投资战略性项目</w:t>
      </w:r>
      <w:r w:rsidR="00A938C7">
        <w:rPr>
          <w:rFonts w:hint="eastAsia"/>
          <w:kern w:val="2"/>
          <w:szCs w:val="32"/>
          <w:lang w:val="en-US" w:bidi="ar-SA"/>
        </w:rPr>
        <w:t>比例</w:t>
      </w:r>
      <w:r w:rsidRPr="00DD687E">
        <w:rPr>
          <w:rFonts w:hint="eastAsia"/>
          <w:lang w:val="en-US"/>
        </w:rPr>
        <w:t>将作为遴选评审的考量因素之一</w:t>
      </w:r>
      <w:r w:rsidRPr="00DD687E">
        <w:rPr>
          <w:rFonts w:hint="eastAsia"/>
          <w:kern w:val="2"/>
          <w:szCs w:val="32"/>
          <w:lang w:val="en-US" w:bidi="ar-SA"/>
        </w:rPr>
        <w:t>。</w:t>
      </w:r>
    </w:p>
    <w:p w14:paraId="26B7C519"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t>（十一）绩效考核</w:t>
      </w:r>
    </w:p>
    <w:p w14:paraId="731120C7" w14:textId="77777777" w:rsidR="00F9531A" w:rsidRPr="00DD687E" w:rsidRDefault="00000000" w:rsidP="00DD687E">
      <w:pPr>
        <w:adjustRightInd w:val="0"/>
        <w:snapToGrid w:val="0"/>
        <w:spacing w:line="560" w:lineRule="exact"/>
        <w:ind w:firstLine="640"/>
        <w:rPr>
          <w:rFonts w:hAnsi="Calibri"/>
          <w:kern w:val="2"/>
          <w:szCs w:val="32"/>
          <w:shd w:val="clear" w:color="auto" w:fill="FFFFFF"/>
          <w:lang w:bidi="ar-SA"/>
        </w:rPr>
      </w:pPr>
      <w:r w:rsidRPr="00DD687E">
        <w:rPr>
          <w:rFonts w:hAnsi="Calibri" w:hint="eastAsia"/>
          <w:kern w:val="2"/>
          <w:szCs w:val="32"/>
          <w:shd w:val="clear" w:color="auto" w:fill="FFFFFF"/>
          <w:lang w:bidi="ar-SA"/>
        </w:rPr>
        <w:t>绩效考核</w:t>
      </w:r>
      <w:r w:rsidRPr="00DD687E">
        <w:rPr>
          <w:rFonts w:hAnsi="Calibri" w:hint="eastAsia"/>
          <w:kern w:val="2"/>
          <w:szCs w:val="32"/>
          <w:shd w:val="clear" w:color="auto" w:fill="FFFFFF"/>
          <w:lang w:val="en-US" w:bidi="ar-SA"/>
        </w:rPr>
        <w:t>由本基金主管部门牵头，</w:t>
      </w:r>
      <w:r w:rsidRPr="00DD687E">
        <w:rPr>
          <w:rFonts w:hAnsi="Calibri" w:hint="eastAsia"/>
          <w:kern w:val="2"/>
          <w:szCs w:val="32"/>
          <w:shd w:val="clear" w:color="auto" w:fill="FFFFFF"/>
          <w:lang w:bidi="ar-SA"/>
        </w:rPr>
        <w:t>从产业扶持、经济效益、运营合规、增值服务和社会效益等维度，结合投资期、退出期等不同阶段进行差异化指标设置，实行长周期、项目群考核，侧重基金整个存续周期、所有投资项目、整体回报等的综合考核。</w:t>
      </w:r>
    </w:p>
    <w:p w14:paraId="7323642E" w14:textId="71C9D8CB" w:rsidR="00F9531A" w:rsidRPr="00DD687E" w:rsidRDefault="00000000" w:rsidP="00DD687E">
      <w:pPr>
        <w:shd w:val="clear" w:color="auto" w:fill="FFFFFF"/>
        <w:ind w:firstLine="640"/>
        <w:outlineLvl w:val="1"/>
        <w:rPr>
          <w:rFonts w:hint="eastAsia"/>
          <w:szCs w:val="32"/>
          <w:lang w:val="en-US"/>
        </w:rPr>
      </w:pPr>
      <w:r w:rsidRPr="00DD687E">
        <w:rPr>
          <w:rFonts w:hint="eastAsia"/>
          <w:szCs w:val="32"/>
          <w:lang w:val="en-US"/>
        </w:rPr>
        <w:t>市</w:t>
      </w:r>
      <w:r w:rsidR="00794380">
        <w:rPr>
          <w:rFonts w:hint="eastAsia"/>
          <w:szCs w:val="32"/>
          <w:lang w:val="en-US"/>
        </w:rPr>
        <w:t>海洋发展</w:t>
      </w:r>
      <w:r w:rsidRPr="00DD687E">
        <w:rPr>
          <w:rFonts w:hint="eastAsia"/>
          <w:szCs w:val="32"/>
          <w:lang w:val="en-US"/>
        </w:rPr>
        <w:t>局作为本基金主管部门承担基金主管部门职能。</w:t>
      </w:r>
    </w:p>
    <w:p w14:paraId="2FC73C83" w14:textId="77777777" w:rsidR="00F9531A" w:rsidRPr="00DD687E" w:rsidRDefault="00000000" w:rsidP="00DD687E">
      <w:pPr>
        <w:keepNext/>
        <w:keepLines/>
        <w:autoSpaceDE/>
        <w:autoSpaceDN/>
        <w:adjustRightInd w:val="0"/>
        <w:snapToGrid w:val="0"/>
        <w:spacing w:line="560" w:lineRule="exact"/>
        <w:ind w:firstLine="640"/>
        <w:outlineLvl w:val="2"/>
        <w:rPr>
          <w:rFonts w:eastAsia="楷体_GB2312" w:hint="eastAsia"/>
          <w:lang w:val="en-US"/>
        </w:rPr>
      </w:pPr>
      <w:r w:rsidRPr="00DD687E">
        <w:rPr>
          <w:rFonts w:eastAsia="楷体_GB2312"/>
          <w:lang w:val="en-US"/>
        </w:rPr>
        <w:t>（十二）</w:t>
      </w:r>
      <w:r w:rsidRPr="00DD687E">
        <w:rPr>
          <w:rFonts w:eastAsia="楷体_GB2312" w:hint="eastAsia"/>
          <w:lang w:val="en-US"/>
        </w:rPr>
        <w:t>激励措施</w:t>
      </w:r>
    </w:p>
    <w:p w14:paraId="0969348D"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1.市、区引导基金支付的实际管理费根据年度绩效评价结果，在标准管理费基础上进行浮动，比例不超过50%。</w:t>
      </w:r>
    </w:p>
    <w:p w14:paraId="2411B93A" w14:textId="3F5BDF10"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2.市、区引导基金的超额收益让利与基金最终整体绩效评价结果挂钩，鼓励产业集团收并购作为基金所投项目退出渠道，市、区引导基金可以加大让利幅度，让利细则另行制定。</w:t>
      </w:r>
    </w:p>
    <w:p w14:paraId="56FB9BCB" w14:textId="42894D24"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3.在基金投资期内，管理机构提前完成政策目标的，可申请对市、区引导基金出资部分进行收购。收购价格不低于市、区引导基金已实缴金额加上同期贷款利息之和。</w:t>
      </w:r>
    </w:p>
    <w:p w14:paraId="0D949DA8"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t>（十三）关联交易</w:t>
      </w:r>
    </w:p>
    <w:p w14:paraId="1970E085" w14:textId="3A860606" w:rsidR="00F9531A" w:rsidRPr="00DD687E" w:rsidRDefault="00000000" w:rsidP="00DD687E">
      <w:pPr>
        <w:adjustRightInd w:val="0"/>
        <w:snapToGrid w:val="0"/>
        <w:spacing w:line="560" w:lineRule="exact"/>
        <w:ind w:firstLine="640"/>
        <w:rPr>
          <w:rFonts w:hAnsi="Calibri"/>
          <w:kern w:val="2"/>
          <w:szCs w:val="32"/>
          <w:shd w:val="clear" w:color="auto" w:fill="FFFFFF"/>
          <w:lang w:val="en-US" w:bidi="ar-SA"/>
        </w:rPr>
      </w:pPr>
      <w:r w:rsidRPr="00DD687E">
        <w:rPr>
          <w:rFonts w:hAnsi="Calibri" w:hint="eastAsia"/>
          <w:kern w:val="2"/>
          <w:szCs w:val="32"/>
          <w:shd w:val="clear" w:color="auto" w:fill="FFFFFF"/>
          <w:lang w:val="en-US" w:bidi="ar-SA"/>
        </w:rPr>
        <w:t>管理机构应明确不同</w:t>
      </w:r>
      <w:r w:rsidR="00A23902">
        <w:rPr>
          <w:rFonts w:hAnsi="Calibri" w:hint="eastAsia"/>
          <w:kern w:val="2"/>
          <w:szCs w:val="32"/>
          <w:shd w:val="clear" w:color="auto" w:fill="FFFFFF"/>
          <w:lang w:val="en-US" w:bidi="ar-SA"/>
        </w:rPr>
        <w:t>主体</w:t>
      </w:r>
      <w:r w:rsidRPr="00DD687E">
        <w:rPr>
          <w:rFonts w:hAnsi="Calibri" w:hint="eastAsia"/>
          <w:kern w:val="2"/>
          <w:szCs w:val="32"/>
          <w:shd w:val="clear" w:color="auto" w:fill="FFFFFF"/>
          <w:lang w:val="en-US" w:bidi="ar-SA"/>
        </w:rPr>
        <w:t>之间关联交易的相关安排，对潜在的在管基金、投资项目与本基金间的利益冲突做出合理安排。原则上基金涉及关联交易均应提交基金合伙人大会决策。</w:t>
      </w:r>
    </w:p>
    <w:p w14:paraId="1ECC3D96" w14:textId="1C8AB1B3" w:rsidR="00F9531A" w:rsidRPr="0091190D" w:rsidRDefault="00000000" w:rsidP="00DD687E">
      <w:pPr>
        <w:tabs>
          <w:tab w:val="left" w:pos="1307"/>
        </w:tabs>
        <w:autoSpaceDE/>
        <w:autoSpaceDN/>
        <w:adjustRightInd w:val="0"/>
        <w:snapToGrid w:val="0"/>
        <w:spacing w:line="560" w:lineRule="exact"/>
        <w:ind w:firstLine="640"/>
        <w:jc w:val="left"/>
        <w:outlineLvl w:val="1"/>
        <w:rPr>
          <w:rFonts w:ascii="黑体" w:eastAsia="黑体" w:hAnsi="黑体" w:cs="方正黑体_GBK" w:hint="eastAsia"/>
          <w:lang w:val="en-US"/>
        </w:rPr>
      </w:pPr>
      <w:r w:rsidRPr="0091190D">
        <w:rPr>
          <w:rFonts w:ascii="黑体" w:eastAsia="黑体" w:hAnsi="黑体" w:cs="方正黑体_GBK" w:hint="eastAsia"/>
          <w:lang w:val="en-US"/>
        </w:rPr>
        <w:t>二、申报要求</w:t>
      </w:r>
    </w:p>
    <w:p w14:paraId="1C636369" w14:textId="77777777" w:rsidR="00F9531A" w:rsidRPr="00DD687E" w:rsidRDefault="00000000" w:rsidP="00DD687E">
      <w:pPr>
        <w:keepNext/>
        <w:keepLines/>
        <w:adjustRightInd w:val="0"/>
        <w:snapToGrid w:val="0"/>
        <w:spacing w:line="560" w:lineRule="exact"/>
        <w:ind w:firstLine="640"/>
        <w:outlineLvl w:val="2"/>
        <w:rPr>
          <w:rFonts w:eastAsia="楷体_GB2312" w:hint="eastAsia"/>
          <w:lang w:val="en-US"/>
        </w:rPr>
      </w:pPr>
      <w:r w:rsidRPr="00DD687E">
        <w:rPr>
          <w:rFonts w:eastAsia="楷体_GB2312" w:hint="eastAsia"/>
          <w:lang w:val="en-US"/>
        </w:rPr>
        <w:lastRenderedPageBreak/>
        <w:t>（一）基本要求</w:t>
      </w:r>
    </w:p>
    <w:p w14:paraId="2BE9644D" w14:textId="77777777" w:rsidR="00F9531A" w:rsidRPr="00DD687E" w:rsidRDefault="00000000" w:rsidP="00DD687E">
      <w:pPr>
        <w:shd w:val="clear" w:color="auto" w:fill="FFFFFF"/>
        <w:autoSpaceDE/>
        <w:autoSpaceDN/>
        <w:adjustRightInd w:val="0"/>
        <w:snapToGrid w:val="0"/>
        <w:spacing w:line="560" w:lineRule="exact"/>
        <w:ind w:firstLine="643"/>
        <w:outlineLvl w:val="1"/>
        <w:rPr>
          <w:rFonts w:hint="eastAsia"/>
          <w:b/>
          <w:bCs/>
          <w:kern w:val="2"/>
          <w:szCs w:val="32"/>
          <w:lang w:val="en-US" w:bidi="ar-SA"/>
        </w:rPr>
      </w:pPr>
      <w:r w:rsidRPr="00DD687E">
        <w:rPr>
          <w:rFonts w:hint="eastAsia"/>
          <w:b/>
          <w:bCs/>
          <w:kern w:val="2"/>
          <w:szCs w:val="32"/>
          <w:lang w:val="en-US" w:bidi="ar-SA"/>
        </w:rPr>
        <w:t>申报单位应逐项对照下列基本要求进行自查，并按附件清单及格式要求提供相应证明材料。</w:t>
      </w:r>
    </w:p>
    <w:p w14:paraId="33B99772" w14:textId="77777777" w:rsidR="00F9531A" w:rsidRPr="00DD687E" w:rsidRDefault="00000000" w:rsidP="00DD687E">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sidRPr="00DD687E">
        <w:rPr>
          <w:rFonts w:hint="eastAsia"/>
          <w:kern w:val="2"/>
          <w:szCs w:val="32"/>
          <w:lang w:val="en-US" w:bidi="ar-SA"/>
        </w:rPr>
        <w:t>1.实缴注册资本不低于1000万元人民币（或等值货币），且实缴资本或净资产不得低于在基金中的认缴出资额。</w:t>
      </w:r>
    </w:p>
    <w:p w14:paraId="71F3B01A" w14:textId="77777777" w:rsidR="00F9531A" w:rsidRPr="00DD687E" w:rsidRDefault="00000000" w:rsidP="00DD687E">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2.已在中国证券投资基金业协会完成登记；未被中国证券投资基金业协会列为异常机构且不存在不良诚信记录等情形；管理机构及其工作人员无被行政主管机关或司法机关处罚的不良记录。</w:t>
      </w:r>
    </w:p>
    <w:p w14:paraId="2CB7BE6C" w14:textId="77777777" w:rsidR="00F9531A" w:rsidRPr="00DD687E" w:rsidRDefault="00000000" w:rsidP="00DD687E">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sidRPr="00DD687E">
        <w:rPr>
          <w:rFonts w:hint="eastAsia"/>
          <w:kern w:val="2"/>
          <w:szCs w:val="32"/>
          <w:lang w:val="en-US" w:bidi="ar-SA"/>
        </w:rPr>
        <w:t>3.有完善的股权投资管理和风险控制流程、规范的项目筛选机制和投资决策机制、健全的内部财务管理制度。</w:t>
      </w:r>
    </w:p>
    <w:p w14:paraId="2010FB25" w14:textId="53DC1350" w:rsidR="00F9531A" w:rsidRPr="00DD687E" w:rsidRDefault="00000000" w:rsidP="00DD687E">
      <w:pPr>
        <w:tabs>
          <w:tab w:val="left" w:pos="1307"/>
        </w:tabs>
        <w:autoSpaceDE/>
        <w:autoSpaceDN/>
        <w:adjustRightInd w:val="0"/>
        <w:snapToGrid w:val="0"/>
        <w:spacing w:line="560" w:lineRule="exact"/>
        <w:ind w:firstLineChars="0" w:firstLine="640"/>
        <w:jc w:val="left"/>
        <w:outlineLvl w:val="1"/>
        <w:rPr>
          <w:rFonts w:hint="eastAsia"/>
          <w:kern w:val="2"/>
          <w:szCs w:val="32"/>
          <w:lang w:val="en-US" w:bidi="ar-SA"/>
        </w:rPr>
      </w:pPr>
      <w:r w:rsidRPr="00DD687E">
        <w:rPr>
          <w:rFonts w:hint="eastAsia"/>
          <w:kern w:val="2"/>
          <w:szCs w:val="32"/>
          <w:lang w:val="en-US" w:bidi="ar-SA"/>
        </w:rPr>
        <w:t>4.有与</w:t>
      </w:r>
      <w:r w:rsidR="0032614D">
        <w:rPr>
          <w:rFonts w:hint="eastAsia"/>
          <w:kern w:val="2"/>
          <w:szCs w:val="32"/>
          <w:lang w:val="en-US" w:bidi="ar-SA"/>
        </w:rPr>
        <w:t>海洋</w:t>
      </w:r>
      <w:r w:rsidRPr="00DD687E">
        <w:rPr>
          <w:rFonts w:hint="eastAsia"/>
          <w:kern w:val="2"/>
          <w:szCs w:val="32"/>
          <w:lang w:val="en-US" w:bidi="ar-SA"/>
        </w:rPr>
        <w:t>产业投资领域和方向匹配的投资管理经验和优质项目储备。</w:t>
      </w:r>
    </w:p>
    <w:p w14:paraId="467F7FFA" w14:textId="77777777"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（1）申报单位投资管理经验，应满足以下条件之一：</w:t>
      </w:r>
    </w:p>
    <w:p w14:paraId="245D62E1" w14:textId="0ECDA3B5"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kern w:val="2"/>
          <w:szCs w:val="32"/>
          <w:lang w:val="en-US" w:bidi="ar-SA"/>
        </w:rPr>
        <w:t>①</w:t>
      </w:r>
      <w:r w:rsidRPr="00DD687E">
        <w:rPr>
          <w:rFonts w:hint="eastAsia"/>
          <w:kern w:val="2"/>
          <w:szCs w:val="32"/>
          <w:lang w:val="en-US" w:bidi="ar-SA"/>
        </w:rPr>
        <w:t>管理机构进行申报的，</w:t>
      </w:r>
      <w:r w:rsidRPr="00DD687E">
        <w:rPr>
          <w:kern w:val="2"/>
          <w:szCs w:val="32"/>
          <w:lang w:val="en-US" w:bidi="ar-SA"/>
        </w:rPr>
        <w:t>管理机构或</w:t>
      </w:r>
      <w:r w:rsidRPr="00DD687E">
        <w:rPr>
          <w:rFonts w:hint="eastAsia"/>
          <w:kern w:val="2"/>
          <w:szCs w:val="32"/>
          <w:lang w:val="en-US" w:bidi="ar-SA"/>
        </w:rPr>
        <w:t>其</w:t>
      </w:r>
      <w:r w:rsidRPr="00DD687E">
        <w:rPr>
          <w:kern w:val="2"/>
          <w:szCs w:val="32"/>
          <w:lang w:val="en-US" w:bidi="ar-SA"/>
        </w:rPr>
        <w:t>3名以上</w:t>
      </w:r>
      <w:r w:rsidRPr="00DD687E">
        <w:rPr>
          <w:rFonts w:hint="eastAsia"/>
          <w:kern w:val="2"/>
          <w:szCs w:val="32"/>
          <w:lang w:val="en-US" w:bidi="ar-SA"/>
        </w:rPr>
        <w:t>服务于本基金的管理团队主要成员（管理团队主要成员指投资团队中层以上人员），累计管理基金产品不少于2支，累计</w:t>
      </w:r>
      <w:r w:rsidRPr="00DD687E">
        <w:rPr>
          <w:kern w:val="2"/>
          <w:szCs w:val="32"/>
          <w:lang w:val="en-US" w:bidi="ar-SA"/>
        </w:rPr>
        <w:t>已投资于</w:t>
      </w:r>
      <w:r w:rsidR="0032614D">
        <w:rPr>
          <w:kern w:val="2"/>
          <w:szCs w:val="32"/>
          <w:lang w:val="en-US" w:bidi="ar-SA"/>
        </w:rPr>
        <w:t>海洋</w:t>
      </w:r>
      <w:r w:rsidRPr="00DD687E">
        <w:rPr>
          <w:kern w:val="2"/>
          <w:szCs w:val="32"/>
          <w:lang w:val="en-US" w:bidi="ar-SA"/>
        </w:rPr>
        <w:t>产业项目数量不低于3个</w:t>
      </w:r>
      <w:r w:rsidRPr="00DD687E">
        <w:rPr>
          <w:rFonts w:hint="eastAsia"/>
          <w:kern w:val="2"/>
          <w:szCs w:val="32"/>
          <w:lang w:val="en-US" w:bidi="ar-SA"/>
        </w:rPr>
        <w:t>，</w:t>
      </w:r>
      <w:r w:rsidRPr="00DD687E">
        <w:rPr>
          <w:kern w:val="2"/>
          <w:szCs w:val="32"/>
          <w:lang w:val="en-US" w:bidi="ar-SA"/>
        </w:rPr>
        <w:t>管理</w:t>
      </w:r>
      <w:r w:rsidRPr="00DD687E">
        <w:rPr>
          <w:rFonts w:hint="eastAsia"/>
          <w:kern w:val="2"/>
          <w:szCs w:val="32"/>
          <w:lang w:val="en-US" w:bidi="ar-SA"/>
        </w:rPr>
        <w:t>的基金累计已实缴投资的资金总额</w:t>
      </w:r>
      <w:r w:rsidRPr="00DD687E">
        <w:rPr>
          <w:kern w:val="2"/>
          <w:szCs w:val="32"/>
          <w:lang w:val="en-US" w:bidi="ar-SA"/>
        </w:rPr>
        <w:t>不低于</w:t>
      </w:r>
      <w:r w:rsidR="0091190D">
        <w:rPr>
          <w:rFonts w:hint="eastAsia"/>
          <w:kern w:val="2"/>
          <w:szCs w:val="32"/>
          <w:lang w:val="en-US" w:bidi="ar-SA"/>
        </w:rPr>
        <w:t>15</w:t>
      </w:r>
      <w:r w:rsidRPr="00DD687E">
        <w:rPr>
          <w:kern w:val="2"/>
          <w:szCs w:val="32"/>
          <w:lang w:val="en-US" w:bidi="ar-SA"/>
        </w:rPr>
        <w:t>亿元人民币或在</w:t>
      </w:r>
      <w:r w:rsidR="0032614D">
        <w:rPr>
          <w:kern w:val="2"/>
          <w:szCs w:val="32"/>
          <w:lang w:val="en-US" w:bidi="ar-SA"/>
        </w:rPr>
        <w:t>海洋</w:t>
      </w:r>
      <w:r w:rsidRPr="00DD687E">
        <w:rPr>
          <w:kern w:val="2"/>
          <w:szCs w:val="32"/>
          <w:lang w:val="en-US" w:bidi="ar-SA"/>
        </w:rPr>
        <w:t>领域</w:t>
      </w:r>
      <w:r w:rsidRPr="00DD687E">
        <w:rPr>
          <w:rFonts w:hint="eastAsia"/>
          <w:kern w:val="2"/>
          <w:szCs w:val="32"/>
          <w:lang w:val="en-US" w:bidi="ar-SA"/>
        </w:rPr>
        <w:t>投资</w:t>
      </w:r>
      <w:r w:rsidRPr="00DD687E">
        <w:rPr>
          <w:kern w:val="2"/>
          <w:szCs w:val="32"/>
          <w:lang w:val="en-US" w:bidi="ar-SA"/>
        </w:rPr>
        <w:t>不低于2亿元。</w:t>
      </w:r>
    </w:p>
    <w:p w14:paraId="2DA70909" w14:textId="1FAB0D79"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kern w:val="2"/>
          <w:szCs w:val="32"/>
          <w:lang w:val="en-US" w:bidi="ar-SA"/>
        </w:rPr>
        <w:t>②</w:t>
      </w:r>
      <w:r w:rsidRPr="00DD687E">
        <w:rPr>
          <w:rFonts w:hint="eastAsia"/>
          <w:kern w:val="2"/>
          <w:szCs w:val="32"/>
          <w:lang w:val="en-US" w:bidi="ar-SA"/>
        </w:rPr>
        <w:t>CVC（企业风险投资）机构进行申报的，CVC或其主要产业股东，具有管理基金产品经验和</w:t>
      </w:r>
      <w:r w:rsidR="0032614D">
        <w:rPr>
          <w:rFonts w:hint="eastAsia"/>
          <w:kern w:val="2"/>
          <w:szCs w:val="32"/>
          <w:lang w:val="en-US" w:bidi="ar-SA"/>
        </w:rPr>
        <w:t>海洋</w:t>
      </w:r>
      <w:r w:rsidRPr="00DD687E">
        <w:rPr>
          <w:rFonts w:hint="eastAsia"/>
          <w:kern w:val="2"/>
          <w:szCs w:val="32"/>
          <w:lang w:val="en-US" w:bidi="ar-SA"/>
        </w:rPr>
        <w:t>领域投资经验，累计投资项目数量和资金总额达到第</w:t>
      </w:r>
      <w:r w:rsidRPr="00DD687E">
        <w:rPr>
          <w:kern w:val="2"/>
          <w:szCs w:val="32"/>
          <w:lang w:val="en-US" w:bidi="ar-SA"/>
        </w:rPr>
        <w:t>①</w:t>
      </w:r>
      <w:r w:rsidRPr="00DD687E">
        <w:rPr>
          <w:rFonts w:hint="eastAsia"/>
          <w:kern w:val="2"/>
          <w:szCs w:val="32"/>
          <w:lang w:val="en-US" w:bidi="ar-SA"/>
        </w:rPr>
        <w:t>条要求。同时，CVC自身或其主要产业股东或其下属绝对控股主体应作为基金普通合伙人之一。</w:t>
      </w:r>
    </w:p>
    <w:p w14:paraId="6BE1587B" w14:textId="696F3B66"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kern w:val="2"/>
          <w:szCs w:val="32"/>
          <w:lang w:val="en-US" w:bidi="ar-SA"/>
        </w:rPr>
        <w:lastRenderedPageBreak/>
        <w:t>③</w:t>
      </w:r>
      <w:r w:rsidRPr="00DD687E">
        <w:rPr>
          <w:rFonts w:hint="eastAsia"/>
          <w:kern w:val="2"/>
          <w:szCs w:val="32"/>
          <w:lang w:val="en-US" w:bidi="ar-SA"/>
        </w:rPr>
        <w:t>产业方联合管理机构进行申报的，管理机构累计管理基金产品不少于2支、参与</w:t>
      </w:r>
      <w:r w:rsidRPr="00DD687E">
        <w:rPr>
          <w:kern w:val="2"/>
          <w:szCs w:val="32"/>
          <w:lang w:val="en-US" w:bidi="ar-SA"/>
        </w:rPr>
        <w:t>管理</w:t>
      </w:r>
      <w:r w:rsidRPr="00DD687E">
        <w:rPr>
          <w:rFonts w:hint="eastAsia"/>
          <w:kern w:val="2"/>
          <w:szCs w:val="32"/>
          <w:lang w:val="en-US" w:bidi="ar-SA"/>
        </w:rPr>
        <w:t>的基金累计已实缴投资的资金总额</w:t>
      </w:r>
      <w:r w:rsidRPr="00DD687E">
        <w:rPr>
          <w:kern w:val="2"/>
          <w:szCs w:val="32"/>
          <w:lang w:val="en-US" w:bidi="ar-SA"/>
        </w:rPr>
        <w:t>不低于</w:t>
      </w:r>
      <w:r w:rsidRPr="00DD687E">
        <w:rPr>
          <w:rFonts w:hint="eastAsia"/>
          <w:kern w:val="2"/>
          <w:szCs w:val="32"/>
          <w:lang w:val="en-US" w:bidi="ar-SA"/>
        </w:rPr>
        <w:t>1</w:t>
      </w:r>
      <w:r w:rsidR="0091190D">
        <w:rPr>
          <w:rFonts w:hint="eastAsia"/>
          <w:kern w:val="2"/>
          <w:szCs w:val="32"/>
          <w:lang w:val="en-US" w:bidi="ar-SA"/>
        </w:rPr>
        <w:t>5</w:t>
      </w:r>
      <w:r w:rsidRPr="00DD687E">
        <w:rPr>
          <w:kern w:val="2"/>
          <w:szCs w:val="32"/>
          <w:lang w:val="en-US" w:bidi="ar-SA"/>
        </w:rPr>
        <w:t>亿元</w:t>
      </w:r>
      <w:r w:rsidRPr="00DD687E">
        <w:rPr>
          <w:rFonts w:hint="eastAsia"/>
          <w:kern w:val="2"/>
          <w:szCs w:val="32"/>
          <w:lang w:val="en-US" w:bidi="ar-SA"/>
        </w:rPr>
        <w:t>；且产业方业务范围包括</w:t>
      </w:r>
      <w:r w:rsidR="0032614D">
        <w:rPr>
          <w:rFonts w:hint="eastAsia"/>
          <w:kern w:val="2"/>
          <w:szCs w:val="32"/>
          <w:lang w:val="en-US" w:bidi="ar-SA"/>
        </w:rPr>
        <w:t>海洋</w:t>
      </w:r>
      <w:r w:rsidRPr="00DD687E">
        <w:rPr>
          <w:rFonts w:hint="eastAsia"/>
          <w:kern w:val="2"/>
          <w:szCs w:val="32"/>
          <w:lang w:val="en-US" w:bidi="ar-SA"/>
        </w:rPr>
        <w:t>领域，过往3年在该领域研发、生产、兼并收购、股权投资等累计已实际投资总额不低于</w:t>
      </w:r>
      <w:r w:rsidR="00AA3EEC">
        <w:rPr>
          <w:rFonts w:hint="eastAsia"/>
          <w:kern w:val="2"/>
          <w:szCs w:val="32"/>
          <w:lang w:val="en-US" w:bidi="ar-SA"/>
        </w:rPr>
        <w:t>3</w:t>
      </w:r>
      <w:r w:rsidRPr="00DD687E">
        <w:rPr>
          <w:rFonts w:hint="eastAsia"/>
          <w:kern w:val="2"/>
          <w:szCs w:val="32"/>
          <w:lang w:val="en-US" w:bidi="ar-SA"/>
        </w:rPr>
        <w:t>亿元。同时，产业方自身或其下属绝对控股主体应作为基金普通合伙人之一。</w:t>
      </w:r>
    </w:p>
    <w:p w14:paraId="3F0C4804" w14:textId="21C9DBC5"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（2）能够提供可核实的符合基金投资领域的项目储备清单。</w:t>
      </w:r>
    </w:p>
    <w:p w14:paraId="5533997E" w14:textId="77777777"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5.有与申报基金规模相匹配的资金募集能力。</w:t>
      </w:r>
    </w:p>
    <w:p w14:paraId="052B5734" w14:textId="298DE96B"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1）鼓励产业资本出资。对于CVC申报或产业方联合管理机构申报的，CVC或产业方自身或其关联方在基金中出资比例不低于5%，并于遴选评审前出具出资承诺函、出资能力证明材料。承诺函为入围遴选评审的前提条件。</w:t>
      </w:r>
    </w:p>
    <w:p w14:paraId="540F1EDD" w14:textId="1B2F6534"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（2）申报单位应于遴选评审前，出具</w:t>
      </w:r>
      <w:r w:rsidR="00A23902">
        <w:rPr>
          <w:rFonts w:hint="eastAsia"/>
          <w:kern w:val="2"/>
          <w:szCs w:val="32"/>
          <w:lang w:val="en-US" w:bidi="ar-SA"/>
        </w:rPr>
        <w:t>社会资本</w:t>
      </w:r>
      <w:r w:rsidRPr="00DD687E">
        <w:rPr>
          <w:rFonts w:hint="eastAsia"/>
          <w:kern w:val="2"/>
          <w:szCs w:val="32"/>
          <w:lang w:val="en-US" w:bidi="ar-SA"/>
        </w:rPr>
        <w:t>出资承诺函</w:t>
      </w:r>
      <w:r w:rsidR="00A23902">
        <w:rPr>
          <w:rFonts w:hint="eastAsia"/>
          <w:kern w:val="2"/>
          <w:szCs w:val="32"/>
          <w:lang w:val="en-US" w:bidi="ar-SA"/>
        </w:rPr>
        <w:t>（不低于社会资本募集规模的25%）</w:t>
      </w:r>
      <w:r w:rsidRPr="00DD687E">
        <w:rPr>
          <w:rFonts w:hint="eastAsia"/>
          <w:kern w:val="2"/>
          <w:szCs w:val="32"/>
          <w:lang w:val="en-US" w:bidi="ar-SA"/>
        </w:rPr>
        <w:t>、出资能力证明材料。承诺函为入围遴选评审的前提条件。</w:t>
      </w:r>
    </w:p>
    <w:p w14:paraId="57E70B50" w14:textId="77777777"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6.能够为被投企业提供融资、订单、辅导、产业扶持、管理咨询、人才引进等增值服务。满足以下条件：</w:t>
      </w:r>
    </w:p>
    <w:p w14:paraId="55A9EEC7" w14:textId="18CD6170"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（1）增值服务能力应与本基金投资领域相关；</w:t>
      </w:r>
    </w:p>
    <w:p w14:paraId="733A25A7" w14:textId="1898D2A4"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（2）提供不低于3个增值服务的过往案例，且提供被服务企业出具的书面证明。</w:t>
      </w:r>
    </w:p>
    <w:p w14:paraId="18C35DF3" w14:textId="77777777" w:rsidR="00F9531A" w:rsidRPr="00B25295"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B25295">
        <w:rPr>
          <w:rFonts w:hint="eastAsia"/>
          <w:b/>
          <w:bCs/>
          <w:kern w:val="2"/>
          <w:szCs w:val="32"/>
          <w:lang w:val="en-US" w:bidi="ar-SA"/>
        </w:rPr>
        <w:t>提示：</w:t>
      </w:r>
      <w:r w:rsidRPr="00DD687E">
        <w:rPr>
          <w:rFonts w:hint="eastAsia"/>
          <w:kern w:val="2"/>
          <w:szCs w:val="32"/>
          <w:lang w:val="en-US" w:bidi="ar-SA"/>
        </w:rPr>
        <w:t>增值服务能力将作为遴选评审的考量因素之一。</w:t>
      </w:r>
    </w:p>
    <w:p w14:paraId="56060FAA" w14:textId="5FB086CC"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7.在基金投资领域具备较强的产业图谱研究能力及成果、产业战略咨询能力、产业及上下游资源整合能力。提供：</w:t>
      </w:r>
    </w:p>
    <w:p w14:paraId="4193CEB0" w14:textId="2872AE9E"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lastRenderedPageBreak/>
        <w:t>（1）</w:t>
      </w:r>
      <w:r w:rsidR="0032614D">
        <w:rPr>
          <w:rFonts w:hint="eastAsia"/>
          <w:kern w:val="2"/>
          <w:szCs w:val="32"/>
          <w:lang w:val="en-US" w:bidi="ar-SA"/>
        </w:rPr>
        <w:t>海洋</w:t>
      </w:r>
      <w:r w:rsidRPr="00DD687E">
        <w:rPr>
          <w:rFonts w:hint="eastAsia"/>
          <w:kern w:val="2"/>
          <w:szCs w:val="32"/>
          <w:lang w:val="en-US" w:bidi="ar-SA"/>
        </w:rPr>
        <w:t>产业图谱的研究报告；</w:t>
      </w:r>
    </w:p>
    <w:p w14:paraId="5E6D1F49" w14:textId="1EF480B8"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（2）对深圳发展</w:t>
      </w:r>
      <w:r w:rsidR="0032614D">
        <w:rPr>
          <w:rFonts w:hint="eastAsia"/>
          <w:kern w:val="2"/>
          <w:szCs w:val="32"/>
          <w:lang w:val="en-US" w:bidi="ar-SA"/>
        </w:rPr>
        <w:t>海洋</w:t>
      </w:r>
      <w:r w:rsidRPr="00DD687E">
        <w:rPr>
          <w:rFonts w:hint="eastAsia"/>
          <w:kern w:val="2"/>
          <w:szCs w:val="32"/>
          <w:lang w:val="en-US" w:bidi="ar-SA"/>
        </w:rPr>
        <w:t>产业规划相关政策的理解和建议；</w:t>
      </w:r>
    </w:p>
    <w:p w14:paraId="1B561C32" w14:textId="445A80AB"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（3）在</w:t>
      </w:r>
      <w:r w:rsidR="0032614D">
        <w:rPr>
          <w:rFonts w:hint="eastAsia"/>
          <w:kern w:val="2"/>
          <w:szCs w:val="32"/>
          <w:lang w:val="en-US" w:bidi="ar-SA"/>
        </w:rPr>
        <w:t>海洋</w:t>
      </w:r>
      <w:r w:rsidRPr="00DD687E">
        <w:rPr>
          <w:rFonts w:hint="eastAsia"/>
          <w:kern w:val="2"/>
          <w:szCs w:val="32"/>
          <w:lang w:val="en-US" w:bidi="ar-SA"/>
        </w:rPr>
        <w:t>领域相关产业资源能力说明。</w:t>
      </w:r>
    </w:p>
    <w:p w14:paraId="51847A7D" w14:textId="12CC069E" w:rsidR="00F9531A" w:rsidRPr="00DD687E"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DD687E">
        <w:rPr>
          <w:rFonts w:hint="eastAsia"/>
          <w:kern w:val="2"/>
          <w:szCs w:val="32"/>
          <w:lang w:val="en-US" w:bidi="ar-SA"/>
        </w:rPr>
        <w:t>鼓励专业投资机构与行业骨干企业、科研机构、创新创业平台等产业资源方合作，加强产业资源导入和服务能力，突出基金的产业导向。</w:t>
      </w:r>
    </w:p>
    <w:p w14:paraId="625BDC75" w14:textId="77777777" w:rsidR="00F9531A" w:rsidRPr="00B25295" w:rsidRDefault="00000000" w:rsidP="00B25295">
      <w:pPr>
        <w:tabs>
          <w:tab w:val="left" w:pos="1307"/>
        </w:tabs>
        <w:autoSpaceDE/>
        <w:autoSpaceDN/>
        <w:adjustRightInd w:val="0"/>
        <w:snapToGrid w:val="0"/>
        <w:spacing w:line="560" w:lineRule="exact"/>
        <w:ind w:firstLineChars="0" w:firstLine="640"/>
        <w:outlineLvl w:val="1"/>
        <w:rPr>
          <w:rFonts w:hint="eastAsia"/>
          <w:kern w:val="2"/>
          <w:szCs w:val="32"/>
          <w:lang w:val="en-US" w:bidi="ar-SA"/>
        </w:rPr>
      </w:pPr>
      <w:r w:rsidRPr="00B25295">
        <w:rPr>
          <w:rFonts w:hint="eastAsia"/>
          <w:b/>
          <w:bCs/>
          <w:kern w:val="2"/>
          <w:szCs w:val="32"/>
          <w:lang w:val="en-US" w:bidi="ar-SA"/>
        </w:rPr>
        <w:t>提示：</w:t>
      </w:r>
      <w:r w:rsidRPr="00B25295">
        <w:rPr>
          <w:rFonts w:hint="eastAsia"/>
          <w:kern w:val="2"/>
          <w:szCs w:val="32"/>
          <w:lang w:val="en-US" w:bidi="ar-SA"/>
        </w:rPr>
        <w:t>产业资源及服务能力将作为遴选评审的考量因素之一。</w:t>
      </w:r>
    </w:p>
    <w:p w14:paraId="2ADBCDDF" w14:textId="77777777" w:rsidR="00F9531A" w:rsidRPr="00DD687E" w:rsidRDefault="00000000" w:rsidP="00DD687E">
      <w:pPr>
        <w:pStyle w:val="3"/>
        <w:adjustRightInd w:val="0"/>
        <w:snapToGrid w:val="0"/>
        <w:spacing w:line="560" w:lineRule="exact"/>
        <w:ind w:firstLine="640"/>
        <w:rPr>
          <w:rFonts w:hint="eastAsia"/>
          <w:lang w:val="en-US"/>
        </w:rPr>
      </w:pPr>
      <w:r w:rsidRPr="00DD687E">
        <w:rPr>
          <w:rFonts w:hint="eastAsia"/>
          <w:lang w:val="en-US"/>
        </w:rPr>
        <w:t>（二）管理要求</w:t>
      </w:r>
    </w:p>
    <w:p w14:paraId="34F094AF" w14:textId="0F3C9170" w:rsidR="00F9531A" w:rsidRPr="00DD687E" w:rsidRDefault="00000000" w:rsidP="00DD687E">
      <w:pPr>
        <w:adjustRightInd w:val="0"/>
        <w:snapToGrid w:val="0"/>
        <w:spacing w:line="560" w:lineRule="exact"/>
        <w:ind w:firstLine="643"/>
        <w:rPr>
          <w:rFonts w:hint="eastAsia"/>
          <w:lang w:val="en-US"/>
        </w:rPr>
      </w:pPr>
      <w:r w:rsidRPr="00DD687E">
        <w:rPr>
          <w:rFonts w:hint="eastAsia"/>
          <w:b/>
          <w:bCs/>
          <w:lang w:val="en-US" w:bidi="ar-SA"/>
        </w:rPr>
        <w:t>1.团队配备要求。</w:t>
      </w:r>
      <w:r w:rsidRPr="00DD687E">
        <w:rPr>
          <w:lang w:val="en-US"/>
        </w:rPr>
        <w:t>在基金存续期内</w:t>
      </w:r>
      <w:r w:rsidRPr="00DD687E">
        <w:rPr>
          <w:rFonts w:hint="eastAsia"/>
          <w:lang w:val="en-US"/>
        </w:rPr>
        <w:t>专职管理</w:t>
      </w:r>
      <w:r w:rsidRPr="00DD687E">
        <w:rPr>
          <w:lang w:val="en-US"/>
        </w:rPr>
        <w:t>，根据基金规模和业务需要配备</w:t>
      </w:r>
      <w:r w:rsidRPr="00DD687E">
        <w:rPr>
          <w:rFonts w:hint="eastAsia"/>
          <w:lang w:val="en-US"/>
        </w:rPr>
        <w:t>合理的</w:t>
      </w:r>
      <w:r w:rsidRPr="00DD687E">
        <w:rPr>
          <w:lang w:val="en-US"/>
        </w:rPr>
        <w:t>管理和投资</w:t>
      </w:r>
      <w:r w:rsidRPr="00DD687E">
        <w:rPr>
          <w:rFonts w:hint="eastAsia"/>
          <w:lang w:val="en-US"/>
        </w:rPr>
        <w:t>人员，并至少满足以下条件：</w:t>
      </w:r>
    </w:p>
    <w:p w14:paraId="0C84D29F"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（1）为本只基金配备不少于8名专业投资人员（含财务、法务专业人员）；</w:t>
      </w:r>
    </w:p>
    <w:p w14:paraId="5E90D774" w14:textId="42150EA9"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（2）为本只基金配备至少3名专职高级管理人员，至少有2名具备3年以上</w:t>
      </w:r>
      <w:r w:rsidR="00B335B6">
        <w:rPr>
          <w:rFonts w:hint="eastAsia"/>
          <w:lang w:val="en-US"/>
        </w:rPr>
        <w:t>海洋</w:t>
      </w:r>
      <w:r w:rsidRPr="00DD687E">
        <w:rPr>
          <w:rFonts w:hint="eastAsia"/>
          <w:lang w:val="en-US"/>
        </w:rPr>
        <w:t>产业领域投资经验；</w:t>
      </w:r>
    </w:p>
    <w:p w14:paraId="75A67818" w14:textId="77777777" w:rsidR="00F9531A" w:rsidRPr="00DD687E" w:rsidRDefault="00000000" w:rsidP="00DD687E">
      <w:pPr>
        <w:adjustRightInd w:val="0"/>
        <w:snapToGrid w:val="0"/>
        <w:spacing w:line="560" w:lineRule="exact"/>
        <w:ind w:firstLine="640"/>
        <w:rPr>
          <w:rFonts w:hint="eastAsia"/>
          <w:bCs/>
          <w:lang w:val="en-US"/>
        </w:rPr>
      </w:pPr>
      <w:r w:rsidRPr="00DD687E">
        <w:rPr>
          <w:rFonts w:hint="eastAsia"/>
          <w:lang w:val="en-US"/>
        </w:rPr>
        <w:t>（3）</w:t>
      </w:r>
      <w:r w:rsidRPr="00DD687E">
        <w:rPr>
          <w:rFonts w:hint="eastAsia"/>
          <w:bCs/>
          <w:lang w:val="en-US"/>
        </w:rPr>
        <w:t>为本基金至少配备1名关键人士，关键人士原则上应包括服务于本基金且在申报单位担任合伙人或副总经理及以上职务或相当职务的管理人员。</w:t>
      </w:r>
    </w:p>
    <w:p w14:paraId="357DFA9F" w14:textId="509DA002"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（4）为本基金配备的团队人员原则上应有过良好的合作共事经历，且</w:t>
      </w:r>
      <w:r w:rsidRPr="00DD687E">
        <w:rPr>
          <w:rFonts w:hint="eastAsia"/>
          <w:kern w:val="2"/>
          <w:szCs w:val="32"/>
          <w:lang w:val="en-US" w:bidi="ar"/>
        </w:rPr>
        <w:t>至少有2名专职高级管理人员具备3年以上合作经验</w:t>
      </w:r>
      <w:r w:rsidRPr="00DD687E">
        <w:rPr>
          <w:rFonts w:hint="eastAsia"/>
          <w:lang w:val="en-US"/>
        </w:rPr>
        <w:t>。</w:t>
      </w:r>
    </w:p>
    <w:p w14:paraId="4A645406" w14:textId="46205780" w:rsidR="00F9531A" w:rsidRPr="00DD687E" w:rsidRDefault="00000000" w:rsidP="00DD687E">
      <w:pPr>
        <w:adjustRightInd w:val="0"/>
        <w:snapToGrid w:val="0"/>
        <w:spacing w:line="560" w:lineRule="exact"/>
        <w:ind w:firstLine="643"/>
        <w:rPr>
          <w:rFonts w:hint="eastAsia"/>
          <w:b/>
          <w:bCs/>
          <w:lang w:val="en-US"/>
        </w:rPr>
      </w:pPr>
      <w:r w:rsidRPr="00DD687E">
        <w:rPr>
          <w:rFonts w:hint="eastAsia"/>
          <w:b/>
          <w:bCs/>
          <w:lang w:val="en-US"/>
        </w:rPr>
        <w:t>2.专注度要求。</w:t>
      </w:r>
      <w:r w:rsidRPr="00DD687E">
        <w:rPr>
          <w:rFonts w:hint="eastAsia"/>
          <w:lang w:val="en-US"/>
        </w:rPr>
        <w:t>在基金</w:t>
      </w:r>
      <w:r w:rsidRPr="00DD687E">
        <w:rPr>
          <w:rFonts w:hint="eastAsia"/>
          <w:bCs/>
          <w:lang w:val="en-US"/>
        </w:rPr>
        <w:t>投资期内应保证关键人士、投委会成员、专职高级管理人员的稳定性，未经市引导基金公司同意，不得随意变动。本基金对专职高级管理人员进行锁定，</w:t>
      </w:r>
      <w:r w:rsidRPr="00DD687E">
        <w:rPr>
          <w:rFonts w:hint="eastAsia"/>
          <w:lang w:val="en-US"/>
        </w:rPr>
        <w:t>在完成基金</w:t>
      </w:r>
      <w:r w:rsidRPr="00DD687E">
        <w:rPr>
          <w:rFonts w:hint="eastAsia"/>
          <w:lang w:val="en-US"/>
        </w:rPr>
        <w:lastRenderedPageBreak/>
        <w:t>认缴出资总规模70%的实际投资之前，所有锁定人</w:t>
      </w:r>
      <w:r w:rsidRPr="00DD687E">
        <w:rPr>
          <w:rFonts w:hint="eastAsia"/>
          <w:bCs/>
          <w:lang w:val="en-US"/>
        </w:rPr>
        <w:t>员不得参与管理投资地域、投资领域均实质相同的基金，不得作为其他基金的关键人。</w:t>
      </w:r>
      <w:r w:rsidRPr="00DD687E">
        <w:rPr>
          <w:rFonts w:hint="eastAsia"/>
          <w:lang w:val="en-US"/>
        </w:rPr>
        <w:t>锁定人员的变更应提交基金合伙人大会决策。</w:t>
      </w:r>
    </w:p>
    <w:p w14:paraId="2983DF5E" w14:textId="72147D3C" w:rsidR="00F9531A" w:rsidRPr="00DD687E" w:rsidRDefault="00000000" w:rsidP="00DD687E">
      <w:pPr>
        <w:pStyle w:val="4"/>
        <w:adjustRightInd w:val="0"/>
        <w:snapToGrid w:val="0"/>
        <w:spacing w:line="560" w:lineRule="exact"/>
        <w:ind w:firstLine="643"/>
        <w:rPr>
          <w:rFonts w:hint="eastAsia"/>
          <w:bCs/>
          <w:lang w:val="en-US"/>
        </w:rPr>
      </w:pPr>
      <w:r w:rsidRPr="00DD687E">
        <w:rPr>
          <w:rFonts w:hint="eastAsia"/>
          <w:lang w:val="en-US"/>
        </w:rPr>
        <w:t>3.产业服务要求。</w:t>
      </w:r>
      <w:r w:rsidRPr="00AA3EEC">
        <w:rPr>
          <w:rFonts w:hint="eastAsia"/>
          <w:b w:val="0"/>
          <w:lang w:val="en-US"/>
        </w:rPr>
        <w:t>中选机构加入我市相关产业集群工作专班，积极服务基金主管部门，参与产业发展规划研究、提供产业战略咨询意见、对具体项目提出研判意见等</w:t>
      </w:r>
      <w:r w:rsidRPr="00DD687E">
        <w:rPr>
          <w:rFonts w:hint="eastAsia"/>
          <w:b w:val="0"/>
          <w:bCs/>
          <w:lang w:val="en-US"/>
        </w:rPr>
        <w:t>。</w:t>
      </w:r>
    </w:p>
    <w:p w14:paraId="0DEE374E" w14:textId="0FB89F5E" w:rsidR="00F9531A" w:rsidRPr="00AA3EEC" w:rsidRDefault="00000000" w:rsidP="00DD687E">
      <w:pPr>
        <w:tabs>
          <w:tab w:val="left" w:pos="1307"/>
        </w:tabs>
        <w:autoSpaceDE/>
        <w:autoSpaceDN/>
        <w:adjustRightInd w:val="0"/>
        <w:snapToGrid w:val="0"/>
        <w:spacing w:line="560" w:lineRule="exact"/>
        <w:ind w:firstLine="640"/>
        <w:jc w:val="left"/>
        <w:outlineLvl w:val="1"/>
        <w:rPr>
          <w:rFonts w:ascii="黑体" w:eastAsia="黑体" w:hAnsi="黑体" w:cs="方正黑体_GBK" w:hint="eastAsia"/>
          <w:lang w:val="en-US"/>
        </w:rPr>
      </w:pPr>
      <w:r w:rsidRPr="00AA3EEC">
        <w:rPr>
          <w:rFonts w:ascii="黑体" w:eastAsia="黑体" w:hAnsi="黑体" w:cs="方正黑体_GBK" w:hint="eastAsia"/>
          <w:lang w:val="en-US"/>
        </w:rPr>
        <w:t>三、限制性安排及风控要求</w:t>
      </w:r>
    </w:p>
    <w:p w14:paraId="106F41B3" w14:textId="34782F06" w:rsidR="00F9531A" w:rsidRPr="00AA3EEC" w:rsidRDefault="00000000" w:rsidP="00DD687E">
      <w:pPr>
        <w:adjustRightInd w:val="0"/>
        <w:snapToGrid w:val="0"/>
        <w:spacing w:line="560" w:lineRule="exact"/>
        <w:ind w:firstLine="640"/>
        <w:rPr>
          <w:rFonts w:ascii="楷体_GB2312" w:eastAsia="楷体_GB2312" w:hAnsi="方正楷体_GB2312" w:cs="方正楷体_GB2312" w:hint="eastAsia"/>
          <w:kern w:val="2"/>
          <w:szCs w:val="32"/>
          <w:shd w:val="clear" w:color="auto" w:fill="FFFFFF"/>
          <w:lang w:val="en-US" w:bidi="ar-SA"/>
        </w:rPr>
      </w:pPr>
      <w:r w:rsidRPr="00AA3EEC">
        <w:rPr>
          <w:rFonts w:ascii="楷体_GB2312" w:eastAsia="楷体_GB2312" w:hAnsi="方正楷体_GB2312" w:cs="方正楷体_GB2312" w:hint="eastAsia"/>
          <w:kern w:val="2"/>
          <w:szCs w:val="32"/>
          <w:shd w:val="clear" w:color="auto" w:fill="FFFFFF"/>
          <w:lang w:val="en-US" w:bidi="ar-SA"/>
        </w:rPr>
        <w:t>（一）基金运作中不得从事的业务</w:t>
      </w:r>
    </w:p>
    <w:p w14:paraId="17383018"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1.从事担保、抵押、委托贷款等业务；</w:t>
      </w:r>
    </w:p>
    <w:p w14:paraId="6199C7CF"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2.在公开市场投资二级市场股票、期货、房地产、证券投资基金、企业债、信托产品、非保本型理财产品、保险计划及其他金融衍生品；</w:t>
      </w:r>
    </w:p>
    <w:p w14:paraId="639327CA"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3.向任何第三方提供赞助、捐赠；</w:t>
      </w:r>
    </w:p>
    <w:p w14:paraId="1F6A5730"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4.吸收或变相吸收存款；</w:t>
      </w:r>
    </w:p>
    <w:p w14:paraId="4D9F8801"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5.向任何第三方提供贷款和资金拆借；</w:t>
      </w:r>
    </w:p>
    <w:p w14:paraId="7C3177B6"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6.进行承担无限连带责任的对外投资；</w:t>
      </w:r>
    </w:p>
    <w:p w14:paraId="10CA69CC"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7.发行信托或集合理财产品募集资金；</w:t>
      </w:r>
    </w:p>
    <w:p w14:paraId="40496125"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8.其他国家法律法规或行业监管规定等禁止从事的业务。</w:t>
      </w:r>
    </w:p>
    <w:p w14:paraId="5A209E75" w14:textId="01B0C6A9" w:rsidR="00F9531A" w:rsidRPr="00AA3EEC" w:rsidRDefault="00000000" w:rsidP="00DD687E">
      <w:pPr>
        <w:adjustRightInd w:val="0"/>
        <w:snapToGrid w:val="0"/>
        <w:spacing w:line="560" w:lineRule="exact"/>
        <w:ind w:firstLine="640"/>
        <w:rPr>
          <w:rFonts w:ascii="楷体_GB2312" w:eastAsia="楷体_GB2312" w:hAnsi="方正楷体_GB2312" w:cs="方正楷体_GB2312" w:hint="eastAsia"/>
          <w:kern w:val="2"/>
          <w:szCs w:val="32"/>
          <w:shd w:val="clear" w:color="auto" w:fill="FFFFFF"/>
          <w:lang w:val="en-US" w:bidi="ar-SA"/>
        </w:rPr>
      </w:pPr>
      <w:r w:rsidRPr="00AA3EEC">
        <w:rPr>
          <w:rFonts w:ascii="楷体_GB2312" w:eastAsia="楷体_GB2312" w:hAnsi="方正楷体_GB2312" w:cs="方正楷体_GB2312" w:hint="eastAsia"/>
          <w:kern w:val="2"/>
          <w:szCs w:val="32"/>
          <w:shd w:val="clear" w:color="auto" w:fill="FFFFFF"/>
          <w:lang w:val="en-US" w:bidi="ar-SA"/>
        </w:rPr>
        <w:t>（二）风险控制</w:t>
      </w:r>
    </w:p>
    <w:p w14:paraId="306BDC6D" w14:textId="77777777" w:rsidR="00F9531A" w:rsidRPr="00DD687E" w:rsidRDefault="00000000" w:rsidP="00DD687E">
      <w:pPr>
        <w:adjustRightInd w:val="0"/>
        <w:snapToGrid w:val="0"/>
        <w:spacing w:line="560" w:lineRule="exact"/>
        <w:ind w:firstLine="643"/>
        <w:rPr>
          <w:rFonts w:hAnsi="Calibri"/>
          <w:kern w:val="2"/>
          <w:szCs w:val="32"/>
          <w:shd w:val="clear" w:color="auto" w:fill="FFFFFF"/>
          <w:lang w:val="en-US" w:bidi="ar-SA"/>
        </w:rPr>
      </w:pPr>
      <w:r w:rsidRPr="00DD687E">
        <w:rPr>
          <w:rFonts w:hAnsi="Calibri" w:hint="eastAsia"/>
          <w:b/>
          <w:bCs/>
          <w:kern w:val="2"/>
          <w:szCs w:val="32"/>
          <w:shd w:val="clear" w:color="auto" w:fill="FFFFFF"/>
          <w:lang w:val="en-US" w:bidi="ar-SA"/>
        </w:rPr>
        <w:t>1.资金托管。</w:t>
      </w:r>
      <w:r w:rsidRPr="00DD687E">
        <w:rPr>
          <w:rFonts w:hAnsi="Calibri" w:hint="eastAsia"/>
          <w:kern w:val="2"/>
          <w:szCs w:val="32"/>
          <w:shd w:val="clear" w:color="auto" w:fill="FFFFFF"/>
          <w:lang w:val="en-US" w:bidi="ar-SA"/>
        </w:rPr>
        <w:t>基金应委托一家在中国境内设立且具备资质的商业银行进行托管。</w:t>
      </w:r>
    </w:p>
    <w:p w14:paraId="34F406FB" w14:textId="77777777" w:rsidR="00F9531A" w:rsidRPr="00DD687E" w:rsidRDefault="00000000" w:rsidP="00DD687E">
      <w:pPr>
        <w:adjustRightInd w:val="0"/>
        <w:snapToGrid w:val="0"/>
        <w:spacing w:line="560" w:lineRule="exact"/>
        <w:ind w:firstLine="643"/>
        <w:rPr>
          <w:rFonts w:hAnsi="Calibri"/>
          <w:kern w:val="2"/>
          <w:szCs w:val="32"/>
          <w:shd w:val="clear" w:color="auto" w:fill="FFFFFF"/>
          <w:lang w:val="en-US" w:bidi="ar-SA"/>
        </w:rPr>
      </w:pPr>
      <w:r w:rsidRPr="00DD687E">
        <w:rPr>
          <w:rFonts w:hAnsi="Calibri" w:hint="eastAsia"/>
          <w:b/>
          <w:bCs/>
          <w:kern w:val="2"/>
          <w:szCs w:val="32"/>
          <w:shd w:val="clear" w:color="auto" w:fill="FFFFFF"/>
          <w:lang w:val="en-US" w:bidi="ar-SA"/>
        </w:rPr>
        <w:t>2.基金备案。</w:t>
      </w:r>
      <w:r w:rsidRPr="00DD687E">
        <w:rPr>
          <w:rFonts w:hAnsi="Calibri" w:hint="eastAsia"/>
          <w:kern w:val="2"/>
          <w:szCs w:val="32"/>
          <w:shd w:val="clear" w:color="auto" w:fill="FFFFFF"/>
          <w:lang w:val="en-US" w:bidi="ar-SA"/>
        </w:rPr>
        <w:t>基金应按中基协规定在募集完毕之日起20个工作日内完成向中基协提交基金备案申请。</w:t>
      </w:r>
    </w:p>
    <w:p w14:paraId="10BCACAB" w14:textId="51CE209A" w:rsidR="00F9531A" w:rsidRPr="00DD687E" w:rsidRDefault="00000000" w:rsidP="00DD687E">
      <w:pPr>
        <w:adjustRightInd w:val="0"/>
        <w:snapToGrid w:val="0"/>
        <w:spacing w:line="560" w:lineRule="exact"/>
        <w:ind w:firstLine="643"/>
        <w:rPr>
          <w:rFonts w:hAnsi="Calibri"/>
          <w:kern w:val="2"/>
          <w:szCs w:val="32"/>
          <w:shd w:val="clear" w:color="auto" w:fill="FFFFFF"/>
          <w:lang w:val="en-US" w:bidi="ar-SA"/>
        </w:rPr>
      </w:pPr>
      <w:r w:rsidRPr="00DD687E">
        <w:rPr>
          <w:rFonts w:hAnsi="Calibri" w:hint="eastAsia"/>
          <w:b/>
          <w:bCs/>
          <w:kern w:val="2"/>
          <w:szCs w:val="32"/>
          <w:shd w:val="clear" w:color="auto" w:fill="FFFFFF"/>
          <w:lang w:val="en-US" w:bidi="ar-SA"/>
        </w:rPr>
        <w:lastRenderedPageBreak/>
        <w:t>3.一票否决权。</w:t>
      </w:r>
      <w:r w:rsidRPr="00DD687E">
        <w:rPr>
          <w:rFonts w:hAnsi="Calibri" w:hint="eastAsia"/>
          <w:kern w:val="2"/>
          <w:szCs w:val="32"/>
          <w:shd w:val="clear" w:color="auto" w:fill="FFFFFF"/>
          <w:lang w:val="en-US" w:bidi="ar-SA"/>
        </w:rPr>
        <w:t>市、区引导基金公司和基金主管部门均有权委派观察员列席基金投资决策委员会等会议。市引导基金公司有权对违反</w:t>
      </w:r>
      <w:r w:rsidR="00472D6F" w:rsidRPr="00472D6F">
        <w:rPr>
          <w:rFonts w:hAnsi="Calibri" w:hint="eastAsia"/>
          <w:kern w:val="2"/>
          <w:szCs w:val="32"/>
          <w:shd w:val="clear" w:color="auto" w:fill="FFFFFF"/>
          <w:lang w:val="en-US" w:bidi="ar-SA"/>
        </w:rPr>
        <w:t>深圳市引导基金相关管理制度</w:t>
      </w:r>
      <w:r w:rsidRPr="00DD687E">
        <w:rPr>
          <w:rFonts w:hAnsi="Calibri" w:hint="eastAsia"/>
          <w:kern w:val="2"/>
          <w:szCs w:val="32"/>
          <w:shd w:val="clear" w:color="auto" w:fill="FFFFFF"/>
          <w:lang w:val="en-US" w:bidi="ar-SA"/>
        </w:rPr>
        <w:t>、合伙协议约定的投资项目行使一票否决权；基金主管部门有权对不符合基金产业导向、违反相关产业政策或合伙协议的投资项目行使一票否决权。</w:t>
      </w:r>
    </w:p>
    <w:p w14:paraId="3138DBA9" w14:textId="77777777" w:rsidR="00F9531A" w:rsidRPr="00DD687E" w:rsidRDefault="00000000" w:rsidP="00DD687E">
      <w:pPr>
        <w:adjustRightInd w:val="0"/>
        <w:snapToGrid w:val="0"/>
        <w:spacing w:line="560" w:lineRule="exact"/>
        <w:ind w:firstLine="643"/>
        <w:rPr>
          <w:rFonts w:hint="eastAsia"/>
        </w:rPr>
      </w:pPr>
      <w:r w:rsidRPr="00DD687E">
        <w:rPr>
          <w:rFonts w:hint="eastAsia"/>
          <w:b/>
          <w:bCs/>
          <w:lang w:val="en-US"/>
        </w:rPr>
        <w:t>4</w:t>
      </w:r>
      <w:r w:rsidRPr="00DD687E">
        <w:rPr>
          <w:rFonts w:hint="eastAsia"/>
          <w:b/>
          <w:bCs/>
        </w:rPr>
        <w:t>.信息披露。</w:t>
      </w:r>
      <w:r w:rsidRPr="00DD687E">
        <w:rPr>
          <w:rFonts w:hint="eastAsia"/>
        </w:rPr>
        <w:t>建立基金重大事项披露制度，定期向基金主管部门、基金监管机构及市引导基金提交基金运营报告、经审计的基金财务报告和银行托管报告等。按基金主管部门、市引导基金的要求，报送具体基金投资运营相关信息。</w:t>
      </w:r>
    </w:p>
    <w:p w14:paraId="27231967" w14:textId="77777777" w:rsidR="00F9531A" w:rsidRPr="00DD687E" w:rsidRDefault="00000000" w:rsidP="00DD687E">
      <w:pPr>
        <w:adjustRightInd w:val="0"/>
        <w:snapToGrid w:val="0"/>
        <w:spacing w:line="560" w:lineRule="exact"/>
        <w:ind w:firstLine="643"/>
        <w:rPr>
          <w:rFonts w:hAnsi="Microsoft JhengHei Light" w:cs="Microsoft JhengHei Light" w:hint="eastAsia"/>
          <w:szCs w:val="32"/>
          <w:lang w:val="en-US"/>
        </w:rPr>
      </w:pPr>
      <w:r w:rsidRPr="00DD687E">
        <w:rPr>
          <w:rFonts w:hAnsi="Microsoft JhengHei Light" w:cs="Microsoft JhengHei Light" w:hint="eastAsia"/>
          <w:b/>
          <w:bCs/>
          <w:szCs w:val="32"/>
          <w:lang w:val="en-US"/>
        </w:rPr>
        <w:t>5.触发特定情形的风险控制措施。</w:t>
      </w:r>
      <w:r w:rsidRPr="00DD687E">
        <w:rPr>
          <w:rFonts w:hAnsi="Microsoft JhengHei Light" w:cs="Microsoft JhengHei Light" w:hint="eastAsia"/>
          <w:szCs w:val="32"/>
          <w:lang w:val="en-US"/>
        </w:rPr>
        <w:t>有下列情况之一的，市、区引导基金有权退出并可采取要求基金管理人退还管理费、扣减收益分成、取消让利及后续合作资格等惩罚措施，基金其他出资人须签署必要的文件并履行必要的程序以配合市、区引导基金退出,退出价格按照基金合伙协议约定计算。</w:t>
      </w:r>
    </w:p>
    <w:p w14:paraId="08924263" w14:textId="77777777" w:rsidR="00F9531A" w:rsidRPr="00DD687E" w:rsidRDefault="00000000" w:rsidP="00DD687E">
      <w:pPr>
        <w:adjustRightInd w:val="0"/>
        <w:snapToGrid w:val="0"/>
        <w:spacing w:line="560" w:lineRule="exact"/>
        <w:ind w:firstLine="640"/>
        <w:rPr>
          <w:rFonts w:hint="eastAsia"/>
          <w:szCs w:val="32"/>
          <w:shd w:val="clear" w:color="auto" w:fill="FFFFFF"/>
          <w:lang w:val="en-US"/>
        </w:rPr>
      </w:pPr>
      <w:r w:rsidRPr="00DD687E">
        <w:rPr>
          <w:rFonts w:hint="eastAsia"/>
          <w:szCs w:val="32"/>
          <w:shd w:val="clear" w:color="auto" w:fill="FFFFFF"/>
        </w:rPr>
        <w:t>（</w:t>
      </w:r>
      <w:r w:rsidRPr="00DD687E">
        <w:rPr>
          <w:rFonts w:hint="eastAsia"/>
          <w:szCs w:val="32"/>
          <w:shd w:val="clear" w:color="auto" w:fill="FFFFFF"/>
          <w:lang w:val="en-US"/>
        </w:rPr>
        <w:t>1</w:t>
      </w:r>
      <w:r w:rsidRPr="00DD687E">
        <w:rPr>
          <w:rFonts w:hint="eastAsia"/>
          <w:szCs w:val="32"/>
          <w:shd w:val="clear" w:color="auto" w:fill="FFFFFF"/>
        </w:rPr>
        <w:t>）</w:t>
      </w:r>
      <w:r w:rsidRPr="00DD687E">
        <w:rPr>
          <w:rFonts w:hint="eastAsia"/>
          <w:szCs w:val="32"/>
          <w:shd w:val="clear" w:color="auto" w:fill="FFFFFF"/>
          <w:lang w:val="en-US"/>
        </w:rPr>
        <w:t>基金管理人</w:t>
      </w:r>
      <w:r w:rsidRPr="00DD687E">
        <w:rPr>
          <w:rFonts w:hint="eastAsia"/>
          <w:szCs w:val="32"/>
          <w:shd w:val="clear" w:color="auto" w:fill="FFFFFF"/>
        </w:rPr>
        <w:t>在公示期满收到中选确认函之日起3个月内，</w:t>
      </w:r>
      <w:r w:rsidRPr="00DD687E">
        <w:rPr>
          <w:rFonts w:hint="eastAsia"/>
          <w:szCs w:val="32"/>
          <w:shd w:val="clear" w:color="auto" w:fill="FFFFFF"/>
          <w:lang w:val="en-US"/>
        </w:rPr>
        <w:t>未</w:t>
      </w:r>
      <w:r w:rsidRPr="00DD687E">
        <w:rPr>
          <w:rFonts w:hint="eastAsia"/>
          <w:szCs w:val="32"/>
          <w:shd w:val="clear" w:color="auto" w:fill="FFFFFF"/>
        </w:rPr>
        <w:t>完成</w:t>
      </w:r>
      <w:r w:rsidRPr="00DD687E">
        <w:rPr>
          <w:rFonts w:hint="eastAsia"/>
          <w:szCs w:val="32"/>
          <w:shd w:val="clear" w:color="auto" w:fill="FFFFFF"/>
          <w:lang w:val="en-US"/>
        </w:rPr>
        <w:t>基金协议签署；</w:t>
      </w:r>
    </w:p>
    <w:p w14:paraId="6E098BC1" w14:textId="0C6CA853" w:rsidR="00F9531A" w:rsidRPr="00DD687E" w:rsidRDefault="00000000" w:rsidP="00DD687E">
      <w:pPr>
        <w:adjustRightInd w:val="0"/>
        <w:snapToGrid w:val="0"/>
        <w:spacing w:line="560" w:lineRule="exact"/>
        <w:ind w:firstLine="640"/>
        <w:rPr>
          <w:rFonts w:hint="eastAsia"/>
          <w:szCs w:val="32"/>
          <w:shd w:val="clear" w:color="auto" w:fill="FFFFFF"/>
        </w:rPr>
      </w:pPr>
      <w:r w:rsidRPr="00DD687E">
        <w:rPr>
          <w:rFonts w:hint="eastAsia"/>
          <w:szCs w:val="32"/>
          <w:shd w:val="clear" w:color="auto" w:fill="FFFFFF"/>
          <w:lang w:val="en-US"/>
        </w:rPr>
        <w:t>（2）基金工商设立登记后3个月内，未</w:t>
      </w:r>
      <w:r w:rsidRPr="00DD687E">
        <w:rPr>
          <w:rFonts w:hint="eastAsia"/>
          <w:szCs w:val="32"/>
          <w:shd w:val="clear" w:color="auto" w:fill="FFFFFF"/>
        </w:rPr>
        <w:t>完成</w:t>
      </w:r>
      <w:r w:rsidRPr="00DD687E">
        <w:rPr>
          <w:rFonts w:hint="eastAsia"/>
          <w:szCs w:val="32"/>
          <w:shd w:val="clear" w:color="auto" w:fill="FFFFFF"/>
          <w:lang w:val="en-US"/>
        </w:rPr>
        <w:t>市、区引导基金之外</w:t>
      </w:r>
      <w:r w:rsidRPr="00DD687E">
        <w:rPr>
          <w:rFonts w:hint="eastAsia"/>
          <w:szCs w:val="32"/>
          <w:shd w:val="clear" w:color="auto" w:fill="FFFFFF"/>
        </w:rPr>
        <w:t>出资人的首期出资款缴付；</w:t>
      </w:r>
    </w:p>
    <w:p w14:paraId="7B49BB42"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（3）首轮出资拨付至基金账户后，基金未开展投资业务超过6个月;</w:t>
      </w:r>
    </w:p>
    <w:p w14:paraId="56A1C0AC"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（4）基金管理人原承诺的社会资本未在募资期结束前到位、且未取得募资义务豁免；</w:t>
      </w:r>
    </w:p>
    <w:p w14:paraId="16695D54"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（5）基金未按合伙协议约定投资且未能有效整改;</w:t>
      </w:r>
    </w:p>
    <w:p w14:paraId="632E26FF"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lastRenderedPageBreak/>
        <w:t>（6）基金运营、管理人因重大违法违规行为被依法查处;</w:t>
      </w:r>
    </w:p>
    <w:p w14:paraId="7C9AE969" w14:textId="502966ED"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（7）基金管理机构发生实质性变化且未按合伙协议约定履行相关程序。实质性变化包括但不限于：基金管理机构的主要股东发生实质性变化、基金投委会委员半数（含）以上发生变化等情况;</w:t>
      </w:r>
    </w:p>
    <w:p w14:paraId="5DF96D1C"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（8）基金管理人连续2年绩效考核不合格且整改未达标;</w:t>
      </w:r>
    </w:p>
    <w:p w14:paraId="44DBB0B3"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（9）基金出现重大审计问题且整改未达标;</w:t>
      </w:r>
    </w:p>
    <w:p w14:paraId="3B16A196" w14:textId="77777777" w:rsidR="00F9531A" w:rsidRPr="00DD687E" w:rsidRDefault="00000000" w:rsidP="00DD687E">
      <w:pPr>
        <w:adjustRightInd w:val="0"/>
        <w:snapToGrid w:val="0"/>
        <w:spacing w:line="560" w:lineRule="exact"/>
        <w:ind w:firstLine="640"/>
        <w:rPr>
          <w:rFonts w:hAnsi="Microsoft JhengHei Light" w:cs="Microsoft JhengHei Light" w:hint="eastAsia"/>
          <w:szCs w:val="32"/>
          <w:lang w:val="en-US"/>
        </w:rPr>
      </w:pPr>
      <w:r w:rsidRPr="00DD687E">
        <w:rPr>
          <w:rFonts w:hAnsi="Microsoft JhengHei Light" w:cs="Microsoft JhengHei Light" w:hint="eastAsia"/>
          <w:szCs w:val="32"/>
          <w:lang w:val="en-US"/>
        </w:rPr>
        <w:t>（10）基金主管部门认定本基金未达成政策目标且经整改仍然无法达到要求。</w:t>
      </w:r>
    </w:p>
    <w:p w14:paraId="3E0A44BD" w14:textId="4BE643B5" w:rsidR="00F9531A" w:rsidRPr="00DD687E" w:rsidRDefault="0063398B" w:rsidP="00DD687E">
      <w:pPr>
        <w:pStyle w:val="20"/>
        <w:adjustRightInd w:val="0"/>
        <w:snapToGrid w:val="0"/>
        <w:spacing w:line="560" w:lineRule="exact"/>
        <w:ind w:firstLine="640"/>
        <w:rPr>
          <w:lang w:val="en-US"/>
        </w:rPr>
      </w:pPr>
      <w:r>
        <w:rPr>
          <w:rFonts w:hint="eastAsia"/>
          <w:lang w:val="en-US"/>
        </w:rPr>
        <w:t>四</w:t>
      </w:r>
      <w:r w:rsidRPr="00DD687E">
        <w:rPr>
          <w:rFonts w:hint="eastAsia"/>
          <w:lang w:val="en-US"/>
        </w:rPr>
        <w:t>、附则</w:t>
      </w:r>
    </w:p>
    <w:p w14:paraId="2AFBCE38"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（一）本申报指南中，除非特别说明，相关名词释义如下：</w:t>
      </w:r>
    </w:p>
    <w:p w14:paraId="6EB9640D" w14:textId="052E2C24"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1.“</w:t>
      </w:r>
      <w:r w:rsidR="00B335B6">
        <w:rPr>
          <w:rFonts w:hint="eastAsia"/>
          <w:lang w:val="en-US"/>
        </w:rPr>
        <w:t>市海洋发展局</w:t>
      </w:r>
      <w:r w:rsidRPr="00DD687E">
        <w:rPr>
          <w:rFonts w:hint="eastAsia"/>
          <w:lang w:val="en-US"/>
        </w:rPr>
        <w:t>”，指深圳</w:t>
      </w:r>
      <w:r w:rsidR="00AA3EEC">
        <w:rPr>
          <w:rFonts w:hint="eastAsia"/>
          <w:lang w:val="en-US"/>
        </w:rPr>
        <w:t>市</w:t>
      </w:r>
      <w:r w:rsidR="00B335B6">
        <w:rPr>
          <w:rFonts w:hint="eastAsia"/>
          <w:lang w:val="en-US"/>
        </w:rPr>
        <w:t>海洋发展</w:t>
      </w:r>
      <w:r w:rsidRPr="00DD687E">
        <w:rPr>
          <w:rFonts w:hint="eastAsia"/>
          <w:lang w:val="en-US"/>
        </w:rPr>
        <w:t>局；“市财政局”，指深圳市财政局；“市引导基金公司”“市引导基金”，均指深圳市引导基金投资有限公司。</w:t>
      </w:r>
    </w:p>
    <w:p w14:paraId="59402CA0" w14:textId="2DBA7095"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2.“不低于”“不超过”“不高于”“不少于”“以上”“以下”等均含本数。</w:t>
      </w:r>
    </w:p>
    <w:p w14:paraId="36F10655" w14:textId="4384199E"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（二）市引导基金公司承诺对接收的报送材料承诺保密，除非该等信息于披露时属于可公开获取的信息或因相关法律规定而必须披露的信息。</w:t>
      </w:r>
    </w:p>
    <w:p w14:paraId="578CCF0F" w14:textId="3DD78F6D"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（三）市引导基金公司对各申报单位对提交的申报材料及其按要求提供的补充材料，均不予退回；对未进入下一环节或未中选申报单位不另行通知。</w:t>
      </w:r>
    </w:p>
    <w:p w14:paraId="4FF046AB" w14:textId="11A617F3" w:rsidR="00F9531A" w:rsidRPr="00DD687E" w:rsidRDefault="00000000" w:rsidP="00DD687E">
      <w:pPr>
        <w:adjustRightInd w:val="0"/>
        <w:snapToGrid w:val="0"/>
        <w:spacing w:line="560" w:lineRule="exact"/>
        <w:ind w:firstLine="640"/>
        <w:rPr>
          <w:rFonts w:hint="eastAsia"/>
          <w:lang w:val="en-US"/>
        </w:rPr>
      </w:pPr>
      <w:r w:rsidRPr="00DD687E">
        <w:rPr>
          <w:lang w:val="en-US"/>
        </w:rPr>
        <w:t>（</w:t>
      </w:r>
      <w:r w:rsidRPr="00DD687E">
        <w:rPr>
          <w:rFonts w:hint="eastAsia"/>
          <w:lang w:val="en-US"/>
        </w:rPr>
        <w:t>四</w:t>
      </w:r>
      <w:r w:rsidRPr="00DD687E">
        <w:rPr>
          <w:lang w:val="en-US"/>
        </w:rPr>
        <w:t>）本申报指南（含附件）由市引导基金公司解释。</w:t>
      </w:r>
    </w:p>
    <w:p w14:paraId="4FD3EE41" w14:textId="77777777" w:rsidR="00F9531A" w:rsidRPr="00DD687E" w:rsidRDefault="00F9531A" w:rsidP="00DD687E">
      <w:pPr>
        <w:adjustRightInd w:val="0"/>
        <w:snapToGrid w:val="0"/>
        <w:spacing w:line="560" w:lineRule="exact"/>
        <w:ind w:firstLine="640"/>
        <w:rPr>
          <w:rFonts w:hint="eastAsia"/>
          <w:lang w:val="en-US"/>
        </w:rPr>
      </w:pPr>
    </w:p>
    <w:p w14:paraId="031B09D8" w14:textId="77777777" w:rsidR="00F9531A" w:rsidRPr="00DD687E" w:rsidRDefault="00000000" w:rsidP="00DD687E">
      <w:pPr>
        <w:adjustRightInd w:val="0"/>
        <w:snapToGrid w:val="0"/>
        <w:spacing w:line="560" w:lineRule="exact"/>
        <w:ind w:firstLine="640"/>
        <w:rPr>
          <w:rFonts w:hint="eastAsia"/>
          <w:lang w:val="en-US"/>
        </w:rPr>
      </w:pPr>
      <w:r w:rsidRPr="00DD687E">
        <w:rPr>
          <w:rFonts w:hint="eastAsia"/>
          <w:lang w:val="en-US"/>
        </w:rPr>
        <w:t>附件：1.申报材料编制及报送说明</w:t>
      </w:r>
    </w:p>
    <w:p w14:paraId="3F554470" w14:textId="77777777" w:rsidR="00F9531A" w:rsidRPr="00DD687E" w:rsidRDefault="00000000" w:rsidP="00DD687E">
      <w:pPr>
        <w:adjustRightInd w:val="0"/>
        <w:snapToGrid w:val="0"/>
        <w:spacing w:line="560" w:lineRule="exact"/>
        <w:ind w:firstLineChars="500" w:firstLine="1600"/>
        <w:rPr>
          <w:rFonts w:hint="eastAsia"/>
          <w:lang w:val="en-US"/>
        </w:rPr>
      </w:pPr>
      <w:r w:rsidRPr="00DD687E">
        <w:rPr>
          <w:rFonts w:hint="eastAsia"/>
          <w:lang w:val="en-US"/>
        </w:rPr>
        <w:t>2.申报材料封面及顺序目录</w:t>
      </w:r>
    </w:p>
    <w:p w14:paraId="452F5388" w14:textId="77777777" w:rsidR="00F9531A" w:rsidRPr="00DD687E" w:rsidRDefault="00000000" w:rsidP="00DD687E">
      <w:pPr>
        <w:adjustRightInd w:val="0"/>
        <w:snapToGrid w:val="0"/>
        <w:spacing w:line="560" w:lineRule="exact"/>
        <w:ind w:firstLineChars="500" w:firstLine="1600"/>
        <w:rPr>
          <w:rFonts w:hint="eastAsia"/>
          <w:lang w:val="en-US"/>
        </w:rPr>
      </w:pPr>
      <w:r w:rsidRPr="00DD687E">
        <w:rPr>
          <w:rFonts w:hint="eastAsia"/>
          <w:lang w:val="en-US"/>
        </w:rPr>
        <w:t>3.申报材料承诺书、声明函、授权书模版</w:t>
      </w:r>
    </w:p>
    <w:p w14:paraId="43A466E4" w14:textId="77777777" w:rsidR="00F9531A" w:rsidRDefault="00000000" w:rsidP="00DD687E">
      <w:pPr>
        <w:adjustRightInd w:val="0"/>
        <w:snapToGrid w:val="0"/>
        <w:spacing w:line="560" w:lineRule="exact"/>
        <w:ind w:firstLineChars="500" w:firstLine="1600"/>
        <w:rPr>
          <w:rFonts w:hint="eastAsia"/>
          <w:lang w:val="en-US"/>
        </w:rPr>
      </w:pPr>
      <w:r w:rsidRPr="00DD687E">
        <w:rPr>
          <w:rFonts w:hint="eastAsia"/>
          <w:lang w:val="en-US"/>
        </w:rPr>
        <w:t>4.申报材料附表模板</w:t>
      </w:r>
    </w:p>
    <w:sectPr w:rsidR="00F9531A">
      <w:headerReference w:type="even" r:id="rId8"/>
      <w:headerReference w:type="default" r:id="rId9"/>
      <w:footerReference w:type="even" r:id="rId10"/>
      <w:footerReference w:type="default" r:id="rId11"/>
      <w:headerReference w:type="first" r:id="rId12"/>
      <w:footerReference w:type="first" r:id="rId13"/>
      <w:pgSz w:w="11910" w:h="16840"/>
      <w:pgMar w:top="2098" w:right="1474" w:bottom="1622" w:left="1587" w:header="0" w:footer="1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A1D97" w14:textId="77777777" w:rsidR="00437C91" w:rsidRDefault="00437C91">
      <w:pPr>
        <w:spacing w:line="240" w:lineRule="auto"/>
        <w:ind w:firstLine="640"/>
        <w:rPr>
          <w:rFonts w:hint="eastAsia"/>
        </w:rPr>
      </w:pPr>
      <w:r>
        <w:separator/>
      </w:r>
    </w:p>
  </w:endnote>
  <w:endnote w:type="continuationSeparator" w:id="0">
    <w:p w14:paraId="3D7B0742" w14:textId="77777777" w:rsidR="00437C91" w:rsidRDefault="00437C91">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F3FCE97A-F355-4775-998D-00616A34478A}"/>
    <w:embedBold r:id="rId2" w:subsetted="1" w:fontKey="{042F8C42-2AC4-48FD-B974-5A574920EB01}"/>
  </w:font>
  <w:font w:name="方正小标宋简体">
    <w:panose1 w:val="02000000000000000000"/>
    <w:charset w:val="86"/>
    <w:family w:val="auto"/>
    <w:pitch w:val="variable"/>
    <w:sig w:usb0="A00002BF" w:usb1="184F6CFA" w:usb2="00000012" w:usb3="00000000" w:csb0="00040001" w:csb1="00000000"/>
    <w:embedRegular r:id="rId3" w:subsetted="1" w:fontKey="{662AFA02-2C4C-4FF9-953A-8CEC820B222B}"/>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AF9150C5-E854-4681-96C3-83007766F14A}"/>
  </w:font>
  <w:font w:name="楷体_GB2312">
    <w:panose1 w:val="02010609030101010101"/>
    <w:charset w:val="86"/>
    <w:family w:val="modern"/>
    <w:pitch w:val="fixed"/>
    <w:sig w:usb0="00000001" w:usb1="080E0000" w:usb2="00000010" w:usb3="00000000" w:csb0="00040000" w:csb1="00000000"/>
    <w:embedRegular r:id="rId5" w:subsetted="1" w:fontKey="{0EAB9910-D9F8-4036-A5A0-0F6D44FE5A98}"/>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auto"/>
    <w:pitch w:val="default"/>
  </w:font>
  <w:font w:name="方正楷体_GB2312">
    <w:altName w:val="微软雅黑"/>
    <w:charset w:val="86"/>
    <w:family w:val="auto"/>
    <w:pitch w:val="default"/>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B89C4" w14:textId="77777777" w:rsidR="00B335B6" w:rsidRDefault="00B335B6">
    <w:pPr>
      <w:pStyle w:val="ac"/>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AFF10" w14:textId="77777777" w:rsidR="00F9531A" w:rsidRDefault="00000000">
    <w:pPr>
      <w:pStyle w:val="a6"/>
      <w:spacing w:line="14" w:lineRule="auto"/>
      <w:ind w:left="0" w:firstLine="640"/>
      <w:rPr>
        <w:rFonts w:hint="eastAsia"/>
        <w:sz w:val="20"/>
      </w:rPr>
    </w:pPr>
    <w:r>
      <w:rPr>
        <w:noProof/>
      </w:rPr>
      <mc:AlternateContent>
        <mc:Choice Requires="wps">
          <w:drawing>
            <wp:anchor distT="0" distB="0" distL="114300" distR="114300" simplePos="0" relativeHeight="251660288" behindDoc="0" locked="0" layoutInCell="1" allowOverlap="1" wp14:anchorId="1CBF0A3D" wp14:editId="67F87E6E">
              <wp:simplePos x="0" y="0"/>
              <wp:positionH relativeFrom="margin">
                <wp:align>center</wp:align>
              </wp:positionH>
              <wp:positionV relativeFrom="paragraph">
                <wp:posOffset>0</wp:posOffset>
              </wp:positionV>
              <wp:extent cx="1053465" cy="20383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053465" cy="203835"/>
                      </a:xfrm>
                      <a:prstGeom prst="rect">
                        <a:avLst/>
                      </a:prstGeom>
                      <a:noFill/>
                      <a:ln>
                        <a:noFill/>
                      </a:ln>
                    </wps:spPr>
                    <wps:txbx>
                      <w:txbxContent>
                        <w:p w14:paraId="357C00C3" w14:textId="77777777" w:rsidR="00F9531A"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wps:txbx>
                    <wps:bodyPr vert="horz" wrap="square" lIns="0" tIns="0" rIns="0" bIns="0" anchor="t" anchorCtr="0" upright="1"/>
                  </wps:wsp>
                </a:graphicData>
              </a:graphic>
            </wp:anchor>
          </w:drawing>
        </mc:Choice>
        <mc:Fallback>
          <w:pict>
            <v:shapetype w14:anchorId="1CBF0A3D" id="_x0000_t202" coordsize="21600,21600" o:spt="202" path="m,l,21600r21600,l21600,xe">
              <v:stroke joinstyle="miter"/>
              <v:path gradientshapeok="t" o:connecttype="rect"/>
            </v:shapetype>
            <v:shape id="文本框 9" o:spid="_x0000_s1026" type="#_x0000_t202" style="position:absolute;left:0;text-align:left;margin-left:0;margin-top:0;width:82.95pt;height:16.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" filled="f" stroked="f">
              <v:textbox inset="0,0,0,0">
                <w:txbxContent>
                  <w:p w14:paraId="357C00C3" w14:textId="77777777" w:rsidR="00F9531A" w:rsidRDefault="00000000">
                    <w:pPr>
                      <w:spacing w:line="321" w:lineRule="exact"/>
                      <w:ind w:left="20" w:firstLine="560"/>
                      <w:jc w:val="left"/>
                      <w:rPr>
                        <w:rFonts w:ascii="宋体" w:hint="eastAsia"/>
                        <w:sz w:val="28"/>
                      </w:rPr>
                    </w:pPr>
                    <w:r>
                      <w:rPr>
                        <w:rFonts w:ascii="宋体"/>
                        <w:sz w:val="28"/>
                      </w:rPr>
                      <w:t xml:space="preserve">- </w:t>
                    </w:r>
                    <w:r>
                      <w:fldChar w:fldCharType="begin"/>
                    </w:r>
                    <w:r>
                      <w:rPr>
                        <w:rFonts w:ascii="宋体"/>
                        <w:sz w:val="28"/>
                      </w:rPr>
                      <w:instrText xml:space="preserve"> PAGE </w:instrText>
                    </w:r>
                    <w:r>
                      <w:fldChar w:fldCharType="separate"/>
                    </w:r>
                    <w:r>
                      <w:t>11</w:t>
                    </w:r>
                    <w:r>
                      <w:fldChar w:fldCharType="end"/>
                    </w:r>
                    <w:r>
                      <w:rPr>
                        <w:rFonts w:ascii="宋体"/>
                        <w:sz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1" locked="0" layoutInCell="1" allowOverlap="1" wp14:anchorId="43172B9C" wp14:editId="6AF0DDDB">
              <wp:simplePos x="0" y="0"/>
              <wp:positionH relativeFrom="page">
                <wp:posOffset>1351280</wp:posOffset>
              </wp:positionH>
              <wp:positionV relativeFrom="page">
                <wp:posOffset>9466580</wp:posOffset>
              </wp:positionV>
              <wp:extent cx="114935" cy="20383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03835"/>
                      </a:xfrm>
                      <a:prstGeom prst="rect">
                        <a:avLst/>
                      </a:prstGeom>
                      <a:noFill/>
                      <a:ln>
                        <a:noFill/>
                      </a:ln>
                      <a:effectLst/>
                    </wps:spPr>
                    <wps:txbx>
                      <w:txbxContent>
                        <w:p w14:paraId="4112FEEB" w14:textId="77777777" w:rsidR="00F9531A" w:rsidRDefault="00000000">
                          <w:pPr>
                            <w:spacing w:line="321" w:lineRule="exact"/>
                            <w:ind w:left="20" w:firstLine="560"/>
                            <w:jc w:val="left"/>
                            <w:rPr>
                              <w:rFonts w:ascii="宋体" w:hint="eastAsia"/>
                              <w:sz w:val="28"/>
                            </w:rPr>
                          </w:pPr>
                          <w:r>
                            <w:rPr>
                              <w:rFonts w:ascii="宋体"/>
                              <w:sz w:val="28"/>
                            </w:rPr>
                            <w:t xml:space="preserve"> </w:t>
                          </w:r>
                        </w:p>
                      </w:txbxContent>
                    </wps:txbx>
                    <wps:bodyPr vert="horz" wrap="square" lIns="0" tIns="0" rIns="0" bIns="0" anchor="t" anchorCtr="0" upright="1"/>
                  </wps:wsp>
                </a:graphicData>
              </a:graphic>
            </wp:anchor>
          </w:drawing>
        </mc:Choice>
        <mc:Fallback>
          <w:pict>
            <v:shape w14:anchorId="43172B9C" id="文本框 8" o:spid="_x0000_s1027" type="#_x0000_t202" style="position:absolute;left:0;text-align:left;margin-left:106.4pt;margin-top:745.4pt;width:9.05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" filled="f" stroked="f">
              <v:textbox inset="0,0,0,0">
                <w:txbxContent>
                  <w:p w14:paraId="4112FEEB" w14:textId="77777777" w:rsidR="00F9531A" w:rsidRDefault="00000000">
                    <w:pPr>
                      <w:spacing w:line="321" w:lineRule="exact"/>
                      <w:ind w:left="20" w:firstLine="560"/>
                      <w:jc w:val="left"/>
                      <w:rPr>
                        <w:rFonts w:ascii="宋体" w:hint="eastAsia"/>
                        <w:sz w:val="28"/>
                      </w:rPr>
                    </w:pPr>
                    <w:r>
                      <w:rPr>
                        <w:rFonts w:ascii="宋体"/>
                        <w:sz w:val="28"/>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4F71" w14:textId="77777777" w:rsidR="00B335B6" w:rsidRDefault="00B335B6">
    <w:pPr>
      <w:pStyle w:val="ac"/>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1D558" w14:textId="77777777" w:rsidR="00437C91" w:rsidRDefault="00437C91">
      <w:pPr>
        <w:spacing w:line="240" w:lineRule="auto"/>
        <w:ind w:firstLine="640"/>
        <w:rPr>
          <w:rFonts w:hint="eastAsia"/>
        </w:rPr>
      </w:pPr>
      <w:r>
        <w:separator/>
      </w:r>
    </w:p>
  </w:footnote>
  <w:footnote w:type="continuationSeparator" w:id="0">
    <w:p w14:paraId="49CB74CE" w14:textId="77777777" w:rsidR="00437C91" w:rsidRDefault="00437C91">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F0B37" w14:textId="77777777" w:rsidR="00B335B6" w:rsidRDefault="00B335B6">
    <w:pPr>
      <w:pStyle w:val="a7"/>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E0D3" w14:textId="77777777" w:rsidR="00B335B6" w:rsidRDefault="00B335B6">
    <w:pPr>
      <w:pStyle w:val="a7"/>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5F8B2" w14:textId="77777777" w:rsidR="00B335B6" w:rsidRDefault="00B335B6">
    <w:pPr>
      <w:pStyle w:val="a7"/>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CE048"/>
    <w:multiLevelType w:val="singleLevel"/>
    <w:tmpl w:val="3F9CE048"/>
    <w:lvl w:ilvl="0">
      <w:start w:val="1"/>
      <w:numFmt w:val="chineseCounting"/>
      <w:suff w:val="nothing"/>
      <w:lvlText w:val="%1、"/>
      <w:lvlJc w:val="left"/>
      <w:rPr>
        <w:rFonts w:hint="eastAsia"/>
      </w:rPr>
    </w:lvl>
  </w:abstractNum>
  <w:num w:numId="1" w16cid:durableId="69712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0NzgyZTZmNGNiNmIxM2IyMzU1MzY0YTgyNjNjZWQifQ=="/>
  </w:docVars>
  <w:rsids>
    <w:rsidRoot w:val="7CBF37E0"/>
    <w:rsid w:val="0000230B"/>
    <w:rsid w:val="00080C5B"/>
    <w:rsid w:val="00091A8D"/>
    <w:rsid w:val="000A5366"/>
    <w:rsid w:val="001D6DB2"/>
    <w:rsid w:val="002C7E3C"/>
    <w:rsid w:val="0032614D"/>
    <w:rsid w:val="0034692D"/>
    <w:rsid w:val="00410A0E"/>
    <w:rsid w:val="00417920"/>
    <w:rsid w:val="00437C91"/>
    <w:rsid w:val="00472D6F"/>
    <w:rsid w:val="004B079F"/>
    <w:rsid w:val="0054442B"/>
    <w:rsid w:val="005C2323"/>
    <w:rsid w:val="0063398B"/>
    <w:rsid w:val="006A0DCF"/>
    <w:rsid w:val="00782D27"/>
    <w:rsid w:val="00794380"/>
    <w:rsid w:val="007F2CF2"/>
    <w:rsid w:val="0091190D"/>
    <w:rsid w:val="009157F3"/>
    <w:rsid w:val="009807EC"/>
    <w:rsid w:val="00A23902"/>
    <w:rsid w:val="00A938C7"/>
    <w:rsid w:val="00AA3EEC"/>
    <w:rsid w:val="00B25295"/>
    <w:rsid w:val="00B335B6"/>
    <w:rsid w:val="00B8378E"/>
    <w:rsid w:val="00BB218E"/>
    <w:rsid w:val="00BB56D7"/>
    <w:rsid w:val="00C061F0"/>
    <w:rsid w:val="00C23FE8"/>
    <w:rsid w:val="00C51DB2"/>
    <w:rsid w:val="00CA73EF"/>
    <w:rsid w:val="00D52B8C"/>
    <w:rsid w:val="00DD687E"/>
    <w:rsid w:val="00F1052C"/>
    <w:rsid w:val="00F116F0"/>
    <w:rsid w:val="00F76E78"/>
    <w:rsid w:val="00F9531A"/>
    <w:rsid w:val="01D2560B"/>
    <w:rsid w:val="025F28B4"/>
    <w:rsid w:val="026C6563"/>
    <w:rsid w:val="026F11A5"/>
    <w:rsid w:val="034A43DB"/>
    <w:rsid w:val="0E0A0266"/>
    <w:rsid w:val="13B642FE"/>
    <w:rsid w:val="19641022"/>
    <w:rsid w:val="1B730595"/>
    <w:rsid w:val="1BCF28A3"/>
    <w:rsid w:val="1EAE0C70"/>
    <w:rsid w:val="2218710D"/>
    <w:rsid w:val="22965462"/>
    <w:rsid w:val="22EF7372"/>
    <w:rsid w:val="235839AB"/>
    <w:rsid w:val="23D14D83"/>
    <w:rsid w:val="26143EDA"/>
    <w:rsid w:val="263145E2"/>
    <w:rsid w:val="2670779A"/>
    <w:rsid w:val="26DF4910"/>
    <w:rsid w:val="279958CD"/>
    <w:rsid w:val="2A5D2CF6"/>
    <w:rsid w:val="2AD5793D"/>
    <w:rsid w:val="2AEC6B2B"/>
    <w:rsid w:val="2AFA0365"/>
    <w:rsid w:val="2B6E679F"/>
    <w:rsid w:val="2CBC2B8D"/>
    <w:rsid w:val="2D533BFC"/>
    <w:rsid w:val="2E891C90"/>
    <w:rsid w:val="2EF0518E"/>
    <w:rsid w:val="305A62E5"/>
    <w:rsid w:val="30BF6A04"/>
    <w:rsid w:val="33115B1A"/>
    <w:rsid w:val="37461538"/>
    <w:rsid w:val="39D81453"/>
    <w:rsid w:val="3DB87C36"/>
    <w:rsid w:val="3E0B01D0"/>
    <w:rsid w:val="3E7A4475"/>
    <w:rsid w:val="3F3831FA"/>
    <w:rsid w:val="3FB86B84"/>
    <w:rsid w:val="3FC976FF"/>
    <w:rsid w:val="404C2CAF"/>
    <w:rsid w:val="40D87830"/>
    <w:rsid w:val="41856EAD"/>
    <w:rsid w:val="42E5081B"/>
    <w:rsid w:val="477F27CB"/>
    <w:rsid w:val="48EF7CA2"/>
    <w:rsid w:val="493B1F88"/>
    <w:rsid w:val="4A9D52F4"/>
    <w:rsid w:val="4AFD27C6"/>
    <w:rsid w:val="4B376EB8"/>
    <w:rsid w:val="4C1623B6"/>
    <w:rsid w:val="4C163C73"/>
    <w:rsid w:val="4E2455D0"/>
    <w:rsid w:val="4EBF4053"/>
    <w:rsid w:val="4FCB4B8B"/>
    <w:rsid w:val="50D53A00"/>
    <w:rsid w:val="50F6750C"/>
    <w:rsid w:val="51C5234C"/>
    <w:rsid w:val="538937FA"/>
    <w:rsid w:val="56105E18"/>
    <w:rsid w:val="573B00FB"/>
    <w:rsid w:val="583B614D"/>
    <w:rsid w:val="5854184A"/>
    <w:rsid w:val="5B3067CC"/>
    <w:rsid w:val="5CD62E37"/>
    <w:rsid w:val="5D814EC0"/>
    <w:rsid w:val="5DAE25D9"/>
    <w:rsid w:val="611A3734"/>
    <w:rsid w:val="6183642B"/>
    <w:rsid w:val="6A317285"/>
    <w:rsid w:val="6B500156"/>
    <w:rsid w:val="6C5E0974"/>
    <w:rsid w:val="6C72216A"/>
    <w:rsid w:val="6E247776"/>
    <w:rsid w:val="6F821A58"/>
    <w:rsid w:val="718801FD"/>
    <w:rsid w:val="7247092B"/>
    <w:rsid w:val="730035B1"/>
    <w:rsid w:val="75BC6A36"/>
    <w:rsid w:val="75E74C1C"/>
    <w:rsid w:val="76147A7E"/>
    <w:rsid w:val="776F69C2"/>
    <w:rsid w:val="797B4731"/>
    <w:rsid w:val="79CE1C18"/>
    <w:rsid w:val="7ACE4ED2"/>
    <w:rsid w:val="7CBF37E0"/>
    <w:rsid w:val="7D6E0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2D6D2"/>
  <w15:docId w15:val="{E5020A78-E74C-4ADA-8722-2BA04496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uiPriority w:val="1"/>
    <w:qFormat/>
    <w:pPr>
      <w:widowControl w:val="0"/>
      <w:autoSpaceDE w:val="0"/>
      <w:autoSpaceDN w:val="0"/>
      <w:spacing w:line="579" w:lineRule="exact"/>
      <w:ind w:firstLineChars="200" w:firstLine="880"/>
      <w:jc w:val="both"/>
    </w:pPr>
    <w:rPr>
      <w:rFonts w:ascii="仿宋_GB2312" w:eastAsia="仿宋_GB2312" w:hAnsi="仿宋_GB2312" w:cs="仿宋_GB2312"/>
      <w:sz w:val="32"/>
      <w:szCs w:val="22"/>
      <w:lang w:val="zh-CN" w:bidi="zh-CN"/>
    </w:rPr>
  </w:style>
  <w:style w:type="paragraph" w:styleId="1">
    <w:name w:val="heading 1"/>
    <w:basedOn w:val="a"/>
    <w:next w:val="a"/>
    <w:qFormat/>
    <w:pPr>
      <w:keepNext/>
      <w:keepLines/>
      <w:ind w:firstLineChars="0" w:firstLine="0"/>
      <w:jc w:val="center"/>
      <w:outlineLvl w:val="0"/>
    </w:pPr>
    <w:rPr>
      <w:rFonts w:eastAsia="方正小标宋简体"/>
      <w:kern w:val="44"/>
      <w:sz w:val="44"/>
    </w:rPr>
  </w:style>
  <w:style w:type="paragraph" w:styleId="20">
    <w:name w:val="heading 2"/>
    <w:basedOn w:val="a"/>
    <w:next w:val="a"/>
    <w:unhideWhenUsed/>
    <w:qFormat/>
    <w:pPr>
      <w:keepNext/>
      <w:keepLines/>
      <w:outlineLvl w:val="1"/>
    </w:pPr>
    <w:rPr>
      <w:rFonts w:ascii="Arial" w:eastAsia="黑体" w:hAnsi="Arial"/>
    </w:rPr>
  </w:style>
  <w:style w:type="paragraph" w:styleId="3">
    <w:name w:val="heading 3"/>
    <w:basedOn w:val="a"/>
    <w:next w:val="a"/>
    <w:unhideWhenUsed/>
    <w:qFormat/>
    <w:pPr>
      <w:keepNext/>
      <w:keepLines/>
      <w:outlineLvl w:val="2"/>
    </w:pPr>
    <w:rPr>
      <w:rFonts w:eastAsia="楷体_GB2312"/>
    </w:rPr>
  </w:style>
  <w:style w:type="paragraph" w:styleId="4">
    <w:name w:val="heading 4"/>
    <w:basedOn w:val="a"/>
    <w:next w:val="a"/>
    <w:link w:val="40"/>
    <w:unhideWhenUsed/>
    <w:qFormat/>
    <w:pPr>
      <w:keepNext/>
      <w:keepLines/>
      <w:ind w:firstLine="562"/>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leftChars="0" w:left="0" w:firstLine="420"/>
    </w:pPr>
  </w:style>
  <w:style w:type="paragraph" w:styleId="a3">
    <w:name w:val="Body Text Indent"/>
    <w:basedOn w:val="a"/>
    <w:link w:val="a4"/>
    <w:qFormat/>
    <w:pPr>
      <w:spacing w:after="120"/>
      <w:ind w:leftChars="200" w:left="420"/>
    </w:pPr>
  </w:style>
  <w:style w:type="paragraph" w:styleId="a5">
    <w:name w:val="annotation text"/>
    <w:basedOn w:val="a"/>
    <w:qFormat/>
    <w:pPr>
      <w:jc w:val="left"/>
    </w:pPr>
  </w:style>
  <w:style w:type="paragraph" w:styleId="a6">
    <w:name w:val="Body Text"/>
    <w:basedOn w:val="a"/>
    <w:uiPriority w:val="1"/>
    <w:qFormat/>
    <w:pPr>
      <w:ind w:left="109"/>
    </w:pPr>
    <w:rPr>
      <w:szCs w:val="32"/>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footnote text"/>
    <w:basedOn w:val="a"/>
    <w:next w:val="a"/>
    <w:qFormat/>
    <w:pPr>
      <w:snapToGrid w:val="0"/>
      <w:jc w:val="left"/>
    </w:pPr>
  </w:style>
  <w:style w:type="table" w:styleId="a9">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标题 4 字符"/>
    <w:link w:val="4"/>
    <w:qFormat/>
    <w:rPr>
      <w:rFonts w:ascii="仿宋_GB2312" w:hAnsi="仿宋_GB2312"/>
      <w:b/>
    </w:rPr>
  </w:style>
  <w:style w:type="paragraph" w:styleId="aa">
    <w:name w:val="List Paragraph"/>
    <w:basedOn w:val="a"/>
    <w:uiPriority w:val="1"/>
    <w:qFormat/>
    <w:pPr>
      <w:spacing w:before="168"/>
      <w:ind w:left="1071" w:hanging="322"/>
    </w:pPr>
  </w:style>
  <w:style w:type="paragraph" w:customStyle="1" w:styleId="11">
    <w:name w:val="正文11"/>
    <w:basedOn w:val="a"/>
    <w:uiPriority w:val="99"/>
    <w:qFormat/>
    <w:pPr>
      <w:spacing w:line="560" w:lineRule="exact"/>
      <w:ind w:firstLineChars="0" w:firstLine="0"/>
    </w:pPr>
    <w:rPr>
      <w:rFonts w:ascii="Calibri" w:eastAsia="宋体" w:hAnsi="Calibri" w:cs="Times New Roman"/>
    </w:rPr>
  </w:style>
  <w:style w:type="character" w:customStyle="1" w:styleId="a4">
    <w:name w:val="正文文本缩进 字符"/>
    <w:basedOn w:val="a0"/>
    <w:link w:val="a3"/>
    <w:rPr>
      <w:kern w:val="2"/>
      <w:sz w:val="21"/>
      <w:szCs w:val="24"/>
    </w:rPr>
  </w:style>
  <w:style w:type="character" w:customStyle="1" w:styleId="21">
    <w:name w:val="正文文本首行缩进 2 字符"/>
    <w:basedOn w:val="a4"/>
    <w:rPr>
      <w:kern w:val="2"/>
      <w:sz w:val="21"/>
      <w:szCs w:val="24"/>
    </w:rPr>
  </w:style>
  <w:style w:type="paragraph" w:styleId="ab">
    <w:name w:val="Revision"/>
    <w:hidden/>
    <w:uiPriority w:val="99"/>
    <w:unhideWhenUsed/>
    <w:rsid w:val="00DD687E"/>
    <w:rPr>
      <w:rFonts w:ascii="仿宋_GB2312" w:eastAsia="仿宋_GB2312" w:hAnsi="仿宋_GB2312" w:cs="仿宋_GB2312"/>
      <w:sz w:val="32"/>
      <w:szCs w:val="22"/>
      <w:lang w:val="zh-CN" w:bidi="zh-CN"/>
    </w:rPr>
  </w:style>
  <w:style w:type="paragraph" w:styleId="ac">
    <w:name w:val="footer"/>
    <w:basedOn w:val="a"/>
    <w:link w:val="ad"/>
    <w:rsid w:val="00B335B6"/>
    <w:pPr>
      <w:tabs>
        <w:tab w:val="center" w:pos="4153"/>
        <w:tab w:val="right" w:pos="8306"/>
      </w:tabs>
      <w:snapToGrid w:val="0"/>
      <w:spacing w:line="240" w:lineRule="atLeast"/>
      <w:jc w:val="left"/>
    </w:pPr>
    <w:rPr>
      <w:sz w:val="18"/>
      <w:szCs w:val="18"/>
    </w:rPr>
  </w:style>
  <w:style w:type="character" w:customStyle="1" w:styleId="ad">
    <w:name w:val="页脚 字符"/>
    <w:basedOn w:val="a0"/>
    <w:link w:val="ac"/>
    <w:rsid w:val="00B335B6"/>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赖传亮-基金部</dc:creator>
  <cp:lastModifiedBy>Zhaodi Jin</cp:lastModifiedBy>
  <cp:revision>13</cp:revision>
  <cp:lastPrinted>2024-09-26T02:02:00Z</cp:lastPrinted>
  <dcterms:created xsi:type="dcterms:W3CDTF">2024-09-19T02:50:00Z</dcterms:created>
  <dcterms:modified xsi:type="dcterms:W3CDTF">2024-11-05T16:08:00Z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B8A56D1117294F78B5E2105445A69364_13</vt:lpwstr>
  </property>
</Properties>
</file>