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60" w:lineRule="exact"/>
        <w:ind w:right="420" w:firstLine="883" w:firstLineChars="200"/>
        <w:jc w:val="center"/>
        <w:rPr>
          <w:rFonts w:ascii="仿宋_GB2312" w:hAnsi="仿宋_GB2312" w:eastAsia="仿宋_GB2312" w:cs="仿宋_GB2312"/>
          <w:b/>
          <w:bCs/>
          <w:kern w:val="2"/>
          <w:sz w:val="44"/>
          <w:szCs w:val="44"/>
        </w:rPr>
      </w:pPr>
      <w:r>
        <w:rPr>
          <w:rFonts w:hint="eastAsia" w:ascii="仿宋_GB2312" w:hAnsi="仿宋_GB2312" w:eastAsia="仿宋_GB2312" w:cs="仿宋_GB2312"/>
          <w:b/>
          <w:bCs/>
          <w:kern w:val="2"/>
          <w:sz w:val="44"/>
          <w:szCs w:val="44"/>
        </w:rPr>
        <w:t>竞</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买</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须</w:t>
      </w:r>
      <w:r>
        <w:rPr>
          <w:rFonts w:ascii="仿宋_GB2312" w:hAnsi="仿宋_GB2312" w:eastAsia="仿宋_GB2312" w:cs="仿宋_GB2312"/>
          <w:b/>
          <w:bCs/>
          <w:kern w:val="2"/>
          <w:sz w:val="44"/>
          <w:szCs w:val="44"/>
        </w:rPr>
        <w:t xml:space="preserve"> </w:t>
      </w:r>
      <w:r>
        <w:rPr>
          <w:rFonts w:hint="eastAsia" w:ascii="仿宋_GB2312" w:hAnsi="仿宋_GB2312" w:eastAsia="仿宋_GB2312" w:cs="仿宋_GB2312"/>
          <w:b/>
          <w:bCs/>
          <w:kern w:val="2"/>
          <w:sz w:val="44"/>
          <w:szCs w:val="44"/>
        </w:rPr>
        <w:t>知</w:t>
      </w:r>
    </w:p>
    <w:p>
      <w:pPr>
        <w:pStyle w:val="9"/>
        <w:spacing w:before="0" w:beforeAutospacing="0" w:after="0" w:afterAutospacing="0" w:line="560" w:lineRule="exact"/>
        <w:ind w:right="420" w:firstLine="883" w:firstLineChars="200"/>
        <w:jc w:val="center"/>
        <w:rPr>
          <w:rFonts w:ascii="方正小标宋简体" w:eastAsia="方正小标宋简体"/>
          <w:b/>
          <w:bCs/>
          <w:sz w:val="44"/>
          <w:szCs w:val="44"/>
          <w:shd w:val="clear" w:color="auto" w:fill="FFFFFF"/>
        </w:rPr>
      </w:pPr>
    </w:p>
    <w:p>
      <w:pPr>
        <w:widowControl/>
        <w:spacing w:line="3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受深圳市公物和财政票据管理中心（以下简称委托人）委托，深圳嘉旺</w:t>
      </w:r>
      <w:r>
        <w:rPr>
          <w:rFonts w:hint="eastAsia" w:ascii="仿宋_GB2312" w:hAnsi="仿宋_GB2312" w:eastAsia="仿宋_GB2312" w:cs="仿宋_GB2312"/>
          <w:color w:val="222222"/>
          <w:kern w:val="0"/>
          <w:sz w:val="28"/>
          <w:szCs w:val="28"/>
        </w:rPr>
        <w:t>拍卖有限公司、深圳润东方拍卖有限公司、深圳市鼎正国际拍卖有限公司（以下简称拍卖人）</w:t>
      </w:r>
      <w:r>
        <w:rPr>
          <w:rFonts w:hint="eastAsia" w:ascii="仿宋_GB2312" w:hAnsi="仿宋_GB2312" w:eastAsia="仿宋_GB2312" w:cs="仿宋_GB2312"/>
          <w:sz w:val="28"/>
          <w:szCs w:val="28"/>
        </w:rPr>
        <w:t>在淘宝网公开拍卖一批闲置物资。现就有关事宜敬告各位竞买人：</w:t>
      </w:r>
    </w:p>
    <w:p>
      <w:pPr>
        <w:pStyle w:val="9"/>
        <w:spacing w:before="0" w:beforeAutospacing="0" w:after="0" w:afterAutospacing="0" w:line="3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一、竞价方式：本次竞价设置延时出价功能，在竞价结束前，当标的物的竞拍时间只剩最后</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分钟时，</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分钟内如果有人出价即循环延时</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分钟。</w:t>
      </w:r>
    </w:p>
    <w:p>
      <w:pPr>
        <w:pStyle w:val="9"/>
        <w:spacing w:before="0" w:beforeAutospacing="0" w:after="0" w:afterAutospacing="0" w:line="3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二、竞买人应具备条件：</w:t>
      </w:r>
      <w:r>
        <w:rPr>
          <w:rStyle w:val="10"/>
          <w:rFonts w:hint="eastAsia" w:ascii="仿宋_GB2312" w:hAnsi="仿宋_GB2312" w:eastAsia="仿宋_GB2312" w:cs="仿宋_GB2312"/>
          <w:color w:val="222222"/>
          <w:sz w:val="28"/>
          <w:szCs w:val="28"/>
        </w:rPr>
        <w:t>凡具备完全民事行为能力的自然人、法人和</w:t>
      </w:r>
      <w:r>
        <w:rPr>
          <w:rStyle w:val="10"/>
          <w:rFonts w:hint="eastAsia" w:ascii="仿宋_GB2312" w:hAnsi="仿宋_GB2312" w:eastAsia="仿宋_GB2312" w:cs="仿宋_GB2312"/>
          <w:sz w:val="28"/>
          <w:szCs w:val="28"/>
        </w:rPr>
        <w:t>其他组织</w:t>
      </w:r>
      <w:r>
        <w:rPr>
          <w:rFonts w:hint="eastAsia" w:ascii="仿宋_GB2312" w:hAnsi="仿宋_GB2312" w:eastAsia="仿宋_GB2312" w:cs="仿宋_GB2312"/>
          <w:sz w:val="28"/>
          <w:szCs w:val="28"/>
        </w:rPr>
        <w:t>均可参与竞买。</w:t>
      </w:r>
    </w:p>
    <w:p>
      <w:pPr>
        <w:pStyle w:val="9"/>
        <w:spacing w:before="0" w:beforeAutospacing="0" w:after="0" w:afterAutospacing="0" w:line="3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三、办理成交确认的主体应当与竞买人在淘宝注册并实名认证的竞买主体为同一人。</w:t>
      </w:r>
    </w:p>
    <w:p>
      <w:pPr>
        <w:pStyle w:val="9"/>
        <w:spacing w:before="0" w:beforeAutospacing="0" w:after="0" w:afterAutospacing="0" w:line="34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四、竞买人在参与竞价前，应按淘宝系统的提示，报名并缴纳保证金，系统会自动冻结保证金。竞价成交的，买受人冻结的保证金将自动转入委托人绑定的账户。竞价未成交的，竞买人的保证金在竞价活动结束后即时解冻，保证金冻结期间不计利息。</w:t>
      </w:r>
    </w:p>
    <w:p>
      <w:pPr>
        <w:pStyle w:val="9"/>
        <w:spacing w:before="0" w:beforeAutospacing="0" w:after="0" w:afterAutospacing="0" w:line="340" w:lineRule="exact"/>
        <w:ind w:firstLine="560" w:firstLineChars="200"/>
        <w:jc w:val="both"/>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rPr>
        <w:t>五、拍卖成交价不包含拍卖佣金及淘宝网络拍卖平台软件服务费</w:t>
      </w:r>
      <w:r>
        <w:rPr>
          <w:rFonts w:hint="eastAsia" w:ascii="仿宋_GB2312" w:hAnsi="仿宋_GB2312" w:eastAsia="仿宋_GB2312" w:cs="仿宋_GB2312"/>
          <w:sz w:val="28"/>
          <w:szCs w:val="28"/>
          <w:highlight w:val="none"/>
        </w:rPr>
        <w:t>及代国家税务总局深圳市税务局</w:t>
      </w:r>
      <w:bookmarkStart w:id="0" w:name="_GoBack"/>
      <w:bookmarkEnd w:id="0"/>
      <w:r>
        <w:rPr>
          <w:rFonts w:hint="eastAsia" w:ascii="仿宋_GB2312" w:hAnsi="仿宋_GB2312" w:eastAsia="仿宋_GB2312" w:cs="仿宋_GB2312"/>
          <w:sz w:val="28"/>
          <w:szCs w:val="28"/>
          <w:highlight w:val="none"/>
        </w:rPr>
        <w:t>征收的增值税及附加。买受人除线上支付成交价款、拍卖佣金（拍卖成交价的</w:t>
      </w: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）及淘宝网络拍卖平台软件服务费（拍卖成交价的</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），还需线下支付代国家税务总局深圳市税务局征收的增值税及附加（拍卖成交价的3.3</w:t>
      </w:r>
      <w:r>
        <w:rPr>
          <w:rFonts w:ascii="仿宋_GB2312" w:hAnsi="仿宋_GB2312" w:eastAsia="仿宋_GB2312" w:cs="仿宋_GB2312"/>
          <w:sz w:val="28"/>
          <w:szCs w:val="28"/>
          <w:highlight w:val="none"/>
        </w:rPr>
        <w:t>6%</w:t>
      </w:r>
      <w:r>
        <w:rPr>
          <w:rFonts w:hint="eastAsia" w:ascii="仿宋_GB2312" w:hAnsi="仿宋_GB2312" w:eastAsia="仿宋_GB2312" w:cs="仿宋_GB2312"/>
          <w:sz w:val="28"/>
          <w:szCs w:val="28"/>
          <w:highlight w:val="none"/>
        </w:rPr>
        <w:t>）。</w:t>
      </w:r>
    </w:p>
    <w:p>
      <w:pPr>
        <w:pStyle w:val="9"/>
        <w:spacing w:before="0" w:beforeAutospacing="0" w:after="0" w:afterAutospacing="0"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highlight w:val="none"/>
        </w:rPr>
        <w:t>六、买受人须在竞拍结束后规定时间内付清全款。买受人逾期或不交纳拍卖成交价款、拍卖佣金，视为买受人放弃该标的物，属于买受人违约，买受</w:t>
      </w:r>
      <w:r>
        <w:rPr>
          <w:rFonts w:hint="eastAsia" w:ascii="仿宋_GB2312" w:hAnsi="仿宋_GB2312" w:eastAsia="仿宋_GB2312" w:cs="仿宋_GB2312"/>
          <w:color w:val="000000"/>
          <w:sz w:val="28"/>
          <w:szCs w:val="28"/>
        </w:rPr>
        <w:t>人须承担违约责任，且保证金不予退还，同时委托人和拍卖人有权对该标的物另行处置。</w:t>
      </w:r>
    </w:p>
    <w:p>
      <w:pPr>
        <w:pStyle w:val="9"/>
        <w:spacing w:before="0" w:beforeAutospacing="0" w:after="0" w:afterAutospacing="0"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七、买受人付清全款后选择自提或委托他人提货的，须在规定时间提货，逾期不提货所造成的损失由买受人自行承担，且买受人须承担相应违约责任，委托人和拍卖人有权对该标的物另行处置。</w:t>
      </w:r>
    </w:p>
    <w:p>
      <w:pPr>
        <w:pStyle w:val="9"/>
        <w:spacing w:before="0" w:beforeAutospacing="0" w:after="0" w:afterAutospacing="0" w:line="340" w:lineRule="exact"/>
        <w:ind w:firstLine="560" w:firstLineChars="200"/>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八、竞买人须妥善保管本人的账户及密码，任何以注册账户登录和参与竞买的操作，均视为本人的行为。</w:t>
      </w:r>
    </w:p>
    <w:p>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九、拍卖标的物在印刷、照片、视频、网页显示中的色彩、形态、比例、质感等与实物原件有差异的，应以实物原件为准。</w:t>
      </w:r>
    </w:p>
    <w:p>
      <w:pPr>
        <w:spacing w:line="34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十、本次竞拍活动遵循“公开、公平、公正、诚实信用”的原则，具备法律效力。竞买人在竞拍前须详细阅读本《竞买须知》及《拍卖公告》，</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并自愿遵守各项条款，对自己的竞拍行为承担法律责任。</w:t>
      </w:r>
    </w:p>
    <w:p>
      <w:pPr>
        <w:spacing w:line="340" w:lineRule="exact"/>
        <w:rPr>
          <w:rFonts w:ascii="仿宋_GB2312" w:hAnsi="仿宋_GB2312" w:eastAsia="仿宋_GB2312" w:cs="仿宋_GB2312"/>
          <w:color w:val="000000"/>
          <w:sz w:val="28"/>
          <w:szCs w:val="28"/>
        </w:rPr>
      </w:pPr>
    </w:p>
    <w:p>
      <w:pPr>
        <w:spacing w:line="380" w:lineRule="exact"/>
        <w:rPr>
          <w:rFonts w:ascii="仿宋_GB2312" w:hAnsi="仿宋_GB2312" w:eastAsia="仿宋_GB2312" w:cs="仿宋_GB2312"/>
          <w:color w:val="000000"/>
          <w:sz w:val="28"/>
          <w:szCs w:val="28"/>
        </w:rPr>
      </w:pPr>
    </w:p>
    <w:p>
      <w:pPr>
        <w:widowControl/>
        <w:spacing w:line="380" w:lineRule="exact"/>
        <w:ind w:firstLine="560" w:firstLineChars="200"/>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sz w:val="28"/>
          <w:szCs w:val="28"/>
        </w:rPr>
        <w:t>深圳嘉旺</w:t>
      </w:r>
      <w:r>
        <w:rPr>
          <w:rFonts w:hint="eastAsia" w:ascii="仿宋_GB2312" w:hAnsi="仿宋_GB2312" w:eastAsia="仿宋_GB2312" w:cs="仿宋_GB2312"/>
          <w:color w:val="222222"/>
          <w:kern w:val="0"/>
          <w:sz w:val="28"/>
          <w:szCs w:val="28"/>
        </w:rPr>
        <w:t>拍卖有限公司</w:t>
      </w:r>
    </w:p>
    <w:p>
      <w:pPr>
        <w:widowControl/>
        <w:spacing w:line="380" w:lineRule="exact"/>
        <w:ind w:firstLine="5460" w:firstLineChars="1950"/>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深圳润东方拍卖有限公司</w:t>
      </w:r>
    </w:p>
    <w:p>
      <w:pPr>
        <w:widowControl/>
        <w:spacing w:line="380" w:lineRule="exact"/>
        <w:ind w:right="113"/>
        <w:jc w:val="right"/>
        <w:rPr>
          <w:rFonts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 xml:space="preserve"> </w:t>
      </w:r>
      <w:r>
        <w:rPr>
          <w:rFonts w:ascii="仿宋_GB2312" w:hAnsi="仿宋_GB2312" w:eastAsia="仿宋_GB2312" w:cs="仿宋_GB2312"/>
          <w:color w:val="222222"/>
          <w:kern w:val="0"/>
          <w:sz w:val="28"/>
          <w:szCs w:val="28"/>
        </w:rPr>
        <w:t xml:space="preserve">         </w:t>
      </w:r>
      <w:r>
        <w:rPr>
          <w:rFonts w:hint="eastAsia" w:ascii="仿宋_GB2312" w:hAnsi="仿宋_GB2312" w:eastAsia="仿宋_GB2312" w:cs="仿宋_GB2312"/>
          <w:color w:val="222222"/>
          <w:kern w:val="0"/>
          <w:sz w:val="28"/>
          <w:szCs w:val="28"/>
        </w:rPr>
        <w:t>深圳市鼎正国际拍卖有限公司</w:t>
      </w:r>
    </w:p>
    <w:p>
      <w:pPr>
        <w:widowControl/>
        <w:spacing w:line="380" w:lineRule="exact"/>
        <w:ind w:right="113"/>
        <w:jc w:val="right"/>
      </w:pPr>
      <w:r>
        <w:rPr>
          <w:rFonts w:ascii="仿宋_GB2312" w:hAnsi="仿宋_GB2312" w:eastAsia="仿宋_GB2312" w:cs="仿宋_GB2312"/>
          <w:color w:val="222222"/>
          <w:kern w:val="0"/>
          <w:sz w:val="28"/>
          <w:szCs w:val="28"/>
        </w:rPr>
        <w:t>2</w:t>
      </w:r>
      <w:r>
        <w:rPr>
          <w:rFonts w:ascii="仿宋_GB2312" w:hAnsi="仿宋_GB2312" w:eastAsia="仿宋_GB2312" w:cs="仿宋_GB2312"/>
          <w:color w:val="000000"/>
          <w:kern w:val="0"/>
          <w:sz w:val="28"/>
          <w:szCs w:val="28"/>
        </w:rPr>
        <w:t>023</w:t>
      </w:r>
      <w:r>
        <w:rPr>
          <w:rFonts w:hint="eastAsia" w:ascii="仿宋_GB2312" w:hAnsi="仿宋_GB2312" w:eastAsia="仿宋_GB2312" w:cs="仿宋_GB2312"/>
          <w:color w:val="000000"/>
          <w:kern w:val="0"/>
          <w:sz w:val="28"/>
          <w:szCs w:val="28"/>
        </w:rPr>
        <w:t>年12月2</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日</w:t>
      </w:r>
    </w:p>
    <w:sectPr>
      <w:pgSz w:w="11906" w:h="16838"/>
      <w:pgMar w:top="1418" w:right="1077" w:bottom="851"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xODViMWIwNGY2Y2U4NThiNWJlYjI2ZmFhZjAyMTEifQ=="/>
  </w:docVars>
  <w:rsids>
    <w:rsidRoot w:val="002A3F61"/>
    <w:rsid w:val="00086613"/>
    <w:rsid w:val="000B56EE"/>
    <w:rsid w:val="002A3F61"/>
    <w:rsid w:val="003706EC"/>
    <w:rsid w:val="004018FA"/>
    <w:rsid w:val="0049308F"/>
    <w:rsid w:val="00527CC7"/>
    <w:rsid w:val="005B3F9F"/>
    <w:rsid w:val="005E7F17"/>
    <w:rsid w:val="006603A1"/>
    <w:rsid w:val="006B50BA"/>
    <w:rsid w:val="006C1B6F"/>
    <w:rsid w:val="006D728C"/>
    <w:rsid w:val="006F416C"/>
    <w:rsid w:val="007A241B"/>
    <w:rsid w:val="007C03D6"/>
    <w:rsid w:val="007D5E6D"/>
    <w:rsid w:val="008253E4"/>
    <w:rsid w:val="00960EAE"/>
    <w:rsid w:val="009955F9"/>
    <w:rsid w:val="00AE6598"/>
    <w:rsid w:val="00AF2960"/>
    <w:rsid w:val="00B37977"/>
    <w:rsid w:val="00B71D47"/>
    <w:rsid w:val="00B92568"/>
    <w:rsid w:val="00BB40E9"/>
    <w:rsid w:val="00D071E9"/>
    <w:rsid w:val="00D134D8"/>
    <w:rsid w:val="00D826FB"/>
    <w:rsid w:val="00DC36FB"/>
    <w:rsid w:val="00DE6F7C"/>
    <w:rsid w:val="00DF5245"/>
    <w:rsid w:val="00E35EDB"/>
    <w:rsid w:val="00E8348C"/>
    <w:rsid w:val="00EE4E28"/>
    <w:rsid w:val="00F34A44"/>
    <w:rsid w:val="00F54AF8"/>
    <w:rsid w:val="00FD60BE"/>
    <w:rsid w:val="00FF25DB"/>
    <w:rsid w:val="134265EC"/>
    <w:rsid w:val="15EA358D"/>
    <w:rsid w:val="1DF5EA99"/>
    <w:rsid w:val="485B2E7C"/>
    <w:rsid w:val="54D80323"/>
    <w:rsid w:val="5A0D6673"/>
    <w:rsid w:val="61876A9F"/>
    <w:rsid w:val="7ABFC73B"/>
    <w:rsid w:val="7FFC96FA"/>
    <w:rsid w:val="DFF98981"/>
    <w:rsid w:val="FFFF8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awspan"/>
    <w:basedOn w:val="6"/>
    <w:qFormat/>
    <w:uiPriority w:val="0"/>
  </w:style>
  <w:style w:type="paragraph" w:customStyle="1" w:styleId="11">
    <w:name w:val="修订1"/>
    <w:hidden/>
    <w:semiHidden/>
    <w:qFormat/>
    <w:uiPriority w:val="99"/>
    <w:rPr>
      <w:rFonts w:ascii="Calibri" w:hAnsi="Calibri" w:eastAsia="宋体" w:cs="Times New Roman"/>
      <w:kern w:val="2"/>
      <w:sz w:val="21"/>
      <w:lang w:val="en-US" w:eastAsia="zh-CN" w:bidi="ar-SA"/>
    </w:rPr>
  </w:style>
  <w:style w:type="paragraph" w:customStyle="1" w:styleId="12">
    <w:name w:val="修订2"/>
    <w:hidden/>
    <w:semiHidden/>
    <w:qFormat/>
    <w:uiPriority w:val="99"/>
    <w:rPr>
      <w:rFonts w:ascii="Calibri" w:hAnsi="Calibri" w:eastAsia="宋体" w:cs="Times New Roman"/>
      <w:kern w:val="2"/>
      <w:sz w:val="21"/>
      <w:lang w:val="en-US" w:eastAsia="zh-CN" w:bidi="ar-SA"/>
    </w:rPr>
  </w:style>
  <w:style w:type="paragraph" w:customStyle="1" w:styleId="13">
    <w:name w:val="Revision"/>
    <w:hidden/>
    <w:unhideWhenUsed/>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144</Words>
  <Characters>821</Characters>
  <Lines>6</Lines>
  <Paragraphs>1</Paragraphs>
  <TotalTime>3</TotalTime>
  <ScaleCrop>false</ScaleCrop>
  <LinksUpToDate>false</LinksUpToDate>
  <CharactersWithSpaces>964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2023-12-17T14:46:00Z</dcterms:created>
  <dc:creator>Administrator</dc:creator>
  <cp:lastModifiedBy>lenovo</cp:lastModifiedBy>
  <dcterms:modified xsi:type="dcterms:W3CDTF">2023-12-21T04:28:21Z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9BC865B575DE44F98E11736776CDED06</vt:lpwstr>
  </property>
</Properties>
</file>