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59" w:lineRule="exac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附件1</w:t>
      </w:r>
    </w:p>
    <w:p>
      <w:pPr>
        <w:spacing w:beforeLines="0" w:afterLines="0" w:line="559" w:lineRule="exact"/>
        <w:jc w:val="left"/>
        <w:rPr>
          <w:rFonts w:hint="eastAsia" w:ascii="仿宋_GB2312" w:eastAsia="仿宋_GB2312"/>
          <w:sz w:val="32"/>
          <w:szCs w:val="32"/>
          <w:lang w:val="en-US" w:eastAsia="zh-CN"/>
        </w:rPr>
      </w:pPr>
    </w:p>
    <w:p>
      <w:pPr>
        <w:spacing w:beforeLines="0" w:afterLines="0" w:line="559" w:lineRule="exact"/>
        <w:ind w:left="357" w:leftChars="0" w:right="-300" w:hanging="357" w:hangingChars="102"/>
        <w:jc w:val="center"/>
        <w:rPr>
          <w:rFonts w:ascii="方正小标宋简体" w:hAnsi="宋体" w:eastAsia="方正小标宋简体" w:cs="宋体-18030"/>
          <w:sz w:val="35"/>
          <w:szCs w:val="35"/>
        </w:rPr>
      </w:pPr>
      <w:r>
        <w:rPr>
          <w:rFonts w:hint="eastAsia" w:ascii="方正小标宋简体" w:hAnsi="宋体" w:eastAsia="方正小标宋简体" w:cs="宋体-18030"/>
          <w:sz w:val="35"/>
          <w:szCs w:val="35"/>
        </w:rPr>
        <w:t>2021-2023年深圳市政府债券承销团一般成员承销协议</w:t>
      </w:r>
    </w:p>
    <w:p>
      <w:pPr>
        <w:spacing w:beforeLines="0" w:afterLines="0" w:line="559" w:lineRule="exact"/>
        <w:ind w:left="-360" w:right="-300"/>
        <w:rPr>
          <w:rFonts w:ascii="黑体"/>
          <w:sz w:val="24"/>
        </w:rPr>
      </w:pPr>
    </w:p>
    <w:p>
      <w:pPr>
        <w:pStyle w:val="4"/>
        <w:spacing w:beforeLines="0" w:beforeAutospacing="0" w:afterLines="0" w:afterAutospacing="0" w:line="559" w:lineRule="exact"/>
        <w:ind w:left="-315" w:leftChars="-150" w:firstLine="482" w:firstLineChars="200"/>
        <w:rPr>
          <w:color w:val="auto"/>
        </w:rPr>
      </w:pPr>
      <w:r>
        <w:rPr>
          <w:b/>
          <w:color w:val="auto"/>
        </w:rPr>
        <mc:AlternateContent>
          <mc:Choice Requires="wps">
            <w:drawing>
              <wp:anchor distT="0" distB="0" distL="114300" distR="114300" simplePos="0" relativeHeight="251662336" behindDoc="0" locked="0" layoutInCell="1" allowOverlap="1">
                <wp:simplePos x="0" y="0"/>
                <wp:positionH relativeFrom="column">
                  <wp:posOffset>5800725</wp:posOffset>
                </wp:positionH>
                <wp:positionV relativeFrom="paragraph">
                  <wp:posOffset>495300</wp:posOffset>
                </wp:positionV>
                <wp:extent cx="400050" cy="10896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0050" cy="1089660"/>
                        </a:xfrm>
                        <a:prstGeom prst="rect">
                          <a:avLst/>
                        </a:prstGeom>
                        <a:noFill/>
                        <a:ln>
                          <a:noFill/>
                        </a:ln>
                        <a:effectLst/>
                      </wps:spPr>
                      <wps:txbx>
                        <w:txbxContent>
                          <w:p>
                            <w:pPr>
                              <w:rPr>
                                <w:sz w:val="17"/>
                                <w:szCs w:val="17"/>
                              </w:rPr>
                            </w:pPr>
                            <w:r>
                              <w:rPr>
                                <w:rFonts w:hint="eastAsia"/>
                                <w:sz w:val="17"/>
                                <w:szCs w:val="17"/>
                              </w:rPr>
                              <w:t>甲方加盖骑缝章</w:t>
                            </w:r>
                          </w:p>
                        </w:txbxContent>
                      </wps:txbx>
                      <wps:bodyPr vert="eaVert" wrap="square" upright="1"/>
                    </wps:wsp>
                  </a:graphicData>
                </a:graphic>
              </wp:anchor>
            </w:drawing>
          </mc:Choice>
          <mc:Fallback>
            <w:pict>
              <v:shape id="_x0000_s1026" o:spid="_x0000_s1026" o:spt="202" type="#_x0000_t202" style="position:absolute;left:0pt;margin-left:456.75pt;margin-top:39pt;height:85.8pt;width:31.5pt;z-index:251662336;mso-width-relative:page;mso-height-relative:page;" filled="f" stroked="f" coordsize="21600,21600" o:gfxdata="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tB+09sAAAAK&#10;AQAADwAAAAAAAAABACAAAAAiAAAAZHJzL2Rvd25yZXYueG1sUEsBAhQAFAAAAAgAh07iQAU9Bz6n&#10;AQAAKgMAAA4AAAAAAAAAAQAgAAAAKgEAAGRycy9lMm9Eb2MueG1sUEsFBgAAAAAGAAYAWQEAAEMF&#10;AAAAAA==&#10;">
                <v:path/>
                <v:fill on="f" focussize="0,0"/>
                <v:stroke on="f"/>
                <v:imagedata o:title=""/>
                <o:lock v:ext="edit" aspectratio="f"/>
                <v:textbox style="layout-flow:vertical-ideographic;">
                  <w:txbxContent>
                    <w:p>
                      <w:pPr>
                        <w:rPr>
                          <w:sz w:val="17"/>
                          <w:szCs w:val="17"/>
                        </w:rPr>
                      </w:pPr>
                      <w:r>
                        <w:rPr>
                          <w:rFonts w:hint="eastAsia"/>
                          <w:sz w:val="17"/>
                          <w:szCs w:val="17"/>
                        </w:rPr>
                        <w:t>甲方加盖骑缝章</w:t>
                      </w:r>
                    </w:p>
                  </w:txbxContent>
                </v:textbox>
              </v:shape>
            </w:pict>
          </mc:Fallback>
        </mc:AlternateContent>
      </w:r>
      <w:r>
        <w:rPr>
          <w:rFonts w:hint="eastAsia"/>
          <w:color w:val="auto"/>
        </w:rPr>
        <w:t>债券发行人（以下称甲方）：</w:t>
      </w:r>
      <w:r>
        <w:rPr>
          <w:rFonts w:hint="eastAsia"/>
          <w:color w:val="auto"/>
          <w:u w:val="single"/>
        </w:rPr>
        <w:t>深圳市财政局</w:t>
      </w:r>
      <w:r>
        <w:rPr>
          <w:rFonts w:hint="eastAsia"/>
          <w:color w:val="auto"/>
        </w:rPr>
        <w:br w:type="textWrapping"/>
      </w:r>
      <w:r>
        <w:rPr>
          <w:rFonts w:hint="eastAsia"/>
          <w:color w:val="auto"/>
        </w:rPr>
        <w:t>　　地址：</w:t>
      </w:r>
      <w:r>
        <w:rPr>
          <w:rFonts w:hint="eastAsia"/>
          <w:color w:val="auto"/>
          <w:u w:val="single"/>
        </w:rPr>
        <w:t>深圳市福田区景田东路9号财政大厦</w:t>
      </w:r>
    </w:p>
    <w:p>
      <w:pPr>
        <w:spacing w:beforeLines="0" w:afterLines="0" w:line="559" w:lineRule="exact"/>
        <w:ind w:left="-360" w:right="-300" w:firstLine="480" w:firstLineChars="200"/>
        <w:rPr>
          <w:rFonts w:hint="default" w:ascii="宋体" w:hAnsi="宋体"/>
          <w:sz w:val="24"/>
          <w:u w:val="single"/>
          <w:lang w:val="en-US" w:eastAsia="zh-CN"/>
        </w:rPr>
      </w:pPr>
      <w:r>
        <w:rPr>
          <w:rFonts w:hint="eastAsia" w:ascii="宋体" w:hAnsi="宋体"/>
          <w:sz w:val="24"/>
        </w:rPr>
        <w:t>债券承销人（以下称乙方）：</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br w:type="textWrapping"/>
      </w:r>
      <w:r>
        <w:rPr>
          <w:rFonts w:hint="eastAsia" w:ascii="宋体" w:hAnsi="宋体"/>
          <w:sz w:val="24"/>
        </w:rPr>
        <w:t>　　地址：</w:t>
      </w:r>
      <w:r>
        <w:rPr>
          <w:rFonts w:hint="eastAsia" w:ascii="宋体" w:hAnsi="宋体"/>
          <w:sz w:val="24"/>
          <w:u w:val="single"/>
          <w:lang w:val="en-US" w:eastAsia="zh-CN"/>
        </w:rPr>
        <w:t xml:space="preserve">                                                     </w:t>
      </w:r>
    </w:p>
    <w:p>
      <w:pPr>
        <w:spacing w:beforeLines="0" w:afterLines="0" w:line="559" w:lineRule="exact"/>
        <w:ind w:left="-360" w:right="-300" w:firstLine="480" w:firstLineChars="200"/>
        <w:rPr>
          <w:rFonts w:hint="eastAsia" w:ascii="宋体" w:hAnsi="宋体"/>
          <w:sz w:val="24"/>
          <w:lang w:val="en-US" w:eastAsia="zh-CN"/>
        </w:rPr>
      </w:pPr>
      <w:r>
        <w:rPr>
          <w:rFonts w:hint="eastAsia" w:ascii="宋体" w:hAnsi="宋体"/>
          <w:sz w:val="24"/>
        </w:rPr>
        <w:t>电子邮箱：</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pPr>
        <w:spacing w:beforeLines="0" w:afterLines="0" w:line="559" w:lineRule="exact"/>
        <w:ind w:left="-360" w:right="-300" w:firstLine="480" w:firstLineChars="200"/>
        <w:rPr>
          <w:rFonts w:hint="default" w:ascii="宋体" w:hAnsi="宋体"/>
          <w:sz w:val="24"/>
          <w:lang w:val="en-US" w:eastAsia="zh-CN"/>
        </w:rPr>
      </w:pPr>
    </w:p>
    <w:p>
      <w:pPr>
        <w:pStyle w:val="7"/>
        <w:numPr>
          <w:ilvl w:val="0"/>
          <w:numId w:val="1"/>
        </w:numPr>
        <w:spacing w:beforeLines="0" w:afterLines="0" w:line="559" w:lineRule="exact"/>
        <w:ind w:right="0" w:firstLine="0" w:firstLineChars="0"/>
        <w:jc w:val="center"/>
        <w:rPr>
          <w:rFonts w:ascii="黑体" w:hAnsi="黑体" w:eastAsia="黑体"/>
          <w:b/>
          <w:sz w:val="24"/>
          <w:szCs w:val="24"/>
          <w:shd w:val="pct10" w:color="auto" w:fill="FFFFFF"/>
        </w:rPr>
      </w:pPr>
      <w:r>
        <w:rPr>
          <w:rFonts w:hint="eastAsia" w:ascii="黑体" w:hAnsi="黑体" w:eastAsia="黑体"/>
          <w:b/>
          <w:sz w:val="24"/>
          <w:szCs w:val="24"/>
          <w:shd w:val="pct10" w:color="auto" w:fill="FFFFFF"/>
        </w:rPr>
        <w:t>总  则</w:t>
      </w:r>
    </w:p>
    <w:p>
      <w:pPr>
        <w:spacing w:beforeLines="0" w:afterLines="0" w:line="559" w:lineRule="exact"/>
        <w:ind w:left="-360" w:right="-300" w:firstLine="480" w:firstLineChars="200"/>
        <w:rPr>
          <w:sz w:val="24"/>
        </w:rPr>
      </w:pPr>
      <w:bookmarkStart w:id="0" w:name="_GoBack"/>
      <w:r>
        <w:rPr>
          <w:sz w:val="24"/>
        </w:rPr>
        <mc:AlternateContent>
          <mc:Choice Requires="wps">
            <w:drawing>
              <wp:anchor distT="0" distB="0" distL="114300" distR="114300" simplePos="0" relativeHeight="251663360" behindDoc="0" locked="0" layoutInCell="1" allowOverlap="1">
                <wp:simplePos x="0" y="0"/>
                <wp:positionH relativeFrom="column">
                  <wp:posOffset>5800725</wp:posOffset>
                </wp:positionH>
                <wp:positionV relativeFrom="paragraph">
                  <wp:posOffset>71120</wp:posOffset>
                </wp:positionV>
                <wp:extent cx="400050" cy="1089660"/>
                <wp:effectExtent l="0" t="0" r="0" b="15240"/>
                <wp:wrapNone/>
                <wp:docPr id="2" name="文本框 2"/>
                <wp:cNvGraphicFramePr/>
                <a:graphic xmlns:a="http://schemas.openxmlformats.org/drawingml/2006/main">
                  <a:graphicData uri="http://schemas.microsoft.com/office/word/2010/wordprocessingShape">
                    <wps:wsp>
                      <wps:cNvSpPr txBox="1"/>
                      <wps:spPr>
                        <a:xfrm>
                          <a:off x="0" y="0"/>
                          <a:ext cx="400050" cy="1089660"/>
                        </a:xfrm>
                        <a:prstGeom prst="rect">
                          <a:avLst/>
                        </a:prstGeom>
                        <a:solidFill>
                          <a:srgbClr val="FFFFFF"/>
                        </a:solidFill>
                        <a:ln>
                          <a:noFill/>
                        </a:ln>
                        <a:effectLst/>
                      </wps:spPr>
                      <wps:txbx>
                        <w:txbxContent>
                          <w:p>
                            <w:pPr>
                              <w:rPr>
                                <w:sz w:val="17"/>
                                <w:szCs w:val="17"/>
                              </w:rPr>
                            </w:pPr>
                            <w:r>
                              <w:rPr>
                                <w:rFonts w:hint="eastAsia"/>
                                <w:sz w:val="17"/>
                                <w:szCs w:val="17"/>
                              </w:rPr>
                              <w:t>乙方加盖骑缝章</w:t>
                            </w:r>
                          </w:p>
                        </w:txbxContent>
                      </wps:txbx>
                      <wps:bodyPr vert="eaVert" wrap="square" upright="1"/>
                    </wps:wsp>
                  </a:graphicData>
                </a:graphic>
              </wp:anchor>
            </w:drawing>
          </mc:Choice>
          <mc:Fallback>
            <w:pict>
              <v:shape id="_x0000_s1026" o:spid="_x0000_s1026" o:spt="202" type="#_x0000_t202" style="position:absolute;left:0pt;margin-left:456.75pt;margin-top:5.6pt;height:85.8pt;width:31.5pt;z-index:251663360;mso-width-relative:page;mso-height-relative:page;" fillcolor="#FFFFFF" filled="t" stroked="f" coordsize="21600,21600" o:gfxdata="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OcHStkAAAAKAQAADwAAAAAAAAABACAAAAAiAAAAZHJzL2Rvd25yZXYueG1s&#10;UEsBAhQAFAAAAAgAh07iQC3khCi+AQAAUwMAAA4AAAAAAAAAAQAgAAAAKAEAAGRycy9lMm9Eb2Mu&#10;eG1sUEsFBgAAAAAGAAYAWQEAAFgFAAAAAA==&#10;">
                <v:path/>
                <v:fill on="t" focussize="0,0"/>
                <v:stroke on="f"/>
                <v:imagedata o:title=""/>
                <o:lock v:ext="edit" aspectratio="f"/>
                <v:textbox style="layout-flow:vertical-ideographic;">
                  <w:txbxContent>
                    <w:p>
                      <w:pPr>
                        <w:rPr>
                          <w:sz w:val="17"/>
                          <w:szCs w:val="17"/>
                        </w:rPr>
                      </w:pPr>
                      <w:r>
                        <w:rPr>
                          <w:rFonts w:hint="eastAsia"/>
                          <w:sz w:val="17"/>
                          <w:szCs w:val="17"/>
                        </w:rPr>
                        <w:t>乙方加盖骑缝章</w:t>
                      </w:r>
                    </w:p>
                  </w:txbxContent>
                </v:textbox>
              </v:shape>
            </w:pict>
          </mc:Fallback>
        </mc:AlternateContent>
      </w:r>
      <w:bookmarkEnd w:id="0"/>
      <w:r>
        <w:rPr>
          <w:rFonts w:hint="eastAsia" w:ascii="宋体"/>
          <w:b/>
          <w:sz w:val="24"/>
        </w:rPr>
        <w:t>第一条</w:t>
      </w:r>
      <w:r>
        <w:rPr>
          <w:rFonts w:hint="eastAsia"/>
          <w:sz w:val="24"/>
        </w:rPr>
        <w:t xml:space="preserve"> 根据《中华人民共和国民法典》《地方政府一般债券发行管理办法》《地方政府专项债券发行管理暂行办法》</w:t>
      </w:r>
      <w:r>
        <w:rPr>
          <w:rFonts w:hint="eastAsia"/>
          <w:sz w:val="24"/>
          <w:lang w:eastAsia="zh-CN"/>
        </w:rPr>
        <w:t>《2021-2023年深圳市政府债券招标发行和兑付办法》</w:t>
      </w:r>
      <w:r>
        <w:rPr>
          <w:rFonts w:hint="eastAsia"/>
          <w:sz w:val="24"/>
        </w:rPr>
        <w:t>及有关地方政府债券发行的其他规定和文件，经甲乙双方平等协商签订本协议。</w:t>
      </w:r>
    </w:p>
    <w:p>
      <w:pPr>
        <w:spacing w:beforeLines="0" w:afterLines="0" w:line="559" w:lineRule="exact"/>
        <w:ind w:left="-357" w:right="-301" w:firstLine="482" w:firstLineChars="200"/>
        <w:rPr>
          <w:rFonts w:ascii="宋体"/>
          <w:sz w:val="24"/>
        </w:rPr>
      </w:pPr>
      <w:r>
        <w:rPr>
          <w:rFonts w:hint="eastAsia" w:ascii="宋体"/>
          <w:b/>
          <w:sz w:val="24"/>
        </w:rPr>
        <w:t xml:space="preserve">第二条 </w:t>
      </w:r>
      <w:r>
        <w:rPr>
          <w:rFonts w:hint="eastAsia" w:ascii="宋体"/>
          <w:sz w:val="24"/>
        </w:rPr>
        <w:t>本协议所称深圳市政府债券，是指深圳市人民政府为公益性项目发行的，以深圳市人民政府作为债务人承担按期支付利息和归还本金责任的政府债券，包括一般债券和专项债券。</w:t>
      </w:r>
    </w:p>
    <w:p>
      <w:pPr>
        <w:spacing w:beforeLines="0" w:afterLines="0" w:line="559" w:lineRule="exact"/>
        <w:ind w:left="-357" w:right="-301" w:firstLine="482" w:firstLineChars="200"/>
        <w:rPr>
          <w:rFonts w:ascii="宋体"/>
          <w:sz w:val="24"/>
        </w:rPr>
      </w:pPr>
      <w:r>
        <w:rPr>
          <w:rFonts w:hint="eastAsia" w:ascii="宋体"/>
          <w:b/>
          <w:sz w:val="24"/>
        </w:rPr>
        <w:t xml:space="preserve">第三条 </w:t>
      </w:r>
      <w:r>
        <w:rPr>
          <w:rFonts w:hint="eastAsia" w:ascii="宋体"/>
          <w:sz w:val="24"/>
        </w:rPr>
        <w:t>甲方在中国境内公开发行，由乙方作为承销商参与承销的记账式深圳市政府债券（包括一般债券和专项债券），其承销活动适用本协议。</w:t>
      </w:r>
    </w:p>
    <w:p>
      <w:pPr>
        <w:spacing w:beforeLines="0" w:afterLines="0" w:line="559" w:lineRule="exact"/>
        <w:ind w:left="-357" w:right="-301" w:firstLine="480" w:firstLineChars="200"/>
        <w:rPr>
          <w:rFonts w:ascii="宋体"/>
          <w:sz w:val="24"/>
        </w:rPr>
      </w:pPr>
    </w:p>
    <w:p>
      <w:pPr>
        <w:pStyle w:val="7"/>
        <w:numPr>
          <w:ilvl w:val="0"/>
          <w:numId w:val="1"/>
        </w:numPr>
        <w:spacing w:beforeLines="0" w:afterLines="0" w:line="559" w:lineRule="exact"/>
        <w:ind w:right="0" w:firstLine="0" w:firstLineChars="0"/>
        <w:jc w:val="center"/>
        <w:rPr>
          <w:rFonts w:hint="eastAsia" w:ascii="黑体" w:hAnsi="黑体" w:eastAsia="黑体"/>
          <w:b/>
          <w:sz w:val="24"/>
          <w:szCs w:val="24"/>
          <w:shd w:val="pct10" w:color="auto" w:fill="FFFFFF"/>
        </w:rPr>
      </w:pPr>
      <w:r>
        <w:rPr>
          <w:rFonts w:hint="eastAsia" w:ascii="黑体" w:hAnsi="黑体" w:eastAsia="黑体"/>
          <w:b/>
          <w:sz w:val="24"/>
          <w:szCs w:val="24"/>
          <w:shd w:val="pct10" w:color="auto" w:fill="FFFFFF"/>
        </w:rPr>
        <w:t>甲方权利和义务</w:t>
      </w:r>
    </w:p>
    <w:p>
      <w:pPr>
        <w:spacing w:beforeLines="0" w:afterLines="0" w:line="559" w:lineRule="exact"/>
        <w:ind w:left="-360" w:right="-300" w:firstLine="612"/>
        <w:rPr>
          <w:sz w:val="24"/>
        </w:rPr>
      </w:pPr>
      <w:r>
        <w:rPr>
          <w:rFonts w:hint="eastAsia" w:ascii="宋体"/>
          <w:b/>
          <w:sz w:val="24"/>
        </w:rPr>
        <w:t>第四条</w:t>
      </w:r>
      <w:r>
        <w:rPr>
          <w:rFonts w:hint="eastAsia" w:ascii="宋体"/>
          <w:sz w:val="24"/>
        </w:rPr>
        <w:t xml:space="preserve"> </w:t>
      </w:r>
      <w:r>
        <w:rPr>
          <w:rFonts w:hint="eastAsia"/>
          <w:sz w:val="24"/>
        </w:rPr>
        <w:t>甲方权利：</w:t>
      </w:r>
    </w:p>
    <w:p>
      <w:pPr>
        <w:spacing w:beforeLines="0" w:afterLines="0" w:line="579" w:lineRule="exact"/>
        <w:ind w:left="-360" w:right="-300" w:firstLine="588"/>
        <w:rPr>
          <w:sz w:val="24"/>
        </w:rPr>
      </w:pPr>
      <w:r>
        <w:rPr>
          <w:rFonts w:hint="eastAsia"/>
          <w:sz w:val="24"/>
        </w:rPr>
        <w:t>1．确定深圳市政府债券发行方式及招投标规则。</w:t>
      </w:r>
    </w:p>
    <w:p>
      <w:pPr>
        <w:spacing w:beforeLines="0" w:afterLines="0" w:line="579" w:lineRule="exact"/>
        <w:ind w:left="-360" w:right="-300" w:firstLine="588"/>
        <w:rPr>
          <w:sz w:val="24"/>
        </w:rPr>
      </w:pPr>
      <w:r>
        <w:rPr>
          <w:rFonts w:hint="eastAsia"/>
          <w:sz w:val="24"/>
        </w:rPr>
        <w:t>2．根据深圳市政府债券发行计划，确定每期债券的发行时间、发行数量、期限、发行费率以及发行款缴纳时间等。</w:t>
      </w:r>
    </w:p>
    <w:p>
      <w:pPr>
        <w:spacing w:beforeLines="0" w:afterLines="0" w:line="579" w:lineRule="exact"/>
        <w:ind w:left="-360" w:right="-300" w:firstLine="588"/>
        <w:rPr>
          <w:sz w:val="24"/>
        </w:rPr>
      </w:pPr>
      <w:r>
        <w:rPr>
          <w:rFonts w:hint="eastAsia"/>
          <w:sz w:val="24"/>
        </w:rPr>
        <w:t>3．在承销团有效期内，根据实际情况对承销团成员规模依法依规进行增补或调整。</w:t>
      </w:r>
    </w:p>
    <w:p>
      <w:pPr>
        <w:spacing w:beforeLines="0" w:afterLines="0" w:line="579" w:lineRule="exact"/>
        <w:ind w:left="-360" w:right="-300" w:firstLine="588"/>
        <w:rPr>
          <w:sz w:val="24"/>
        </w:rPr>
      </w:pPr>
      <w:r>
        <w:rPr>
          <w:rFonts w:hint="eastAsia"/>
          <w:sz w:val="24"/>
        </w:rPr>
        <w:t>4．</w:t>
      </w:r>
      <w:r>
        <w:rPr>
          <w:rFonts w:hint="eastAsia" w:ascii="宋体"/>
          <w:sz w:val="24"/>
        </w:rPr>
        <w:t>对乙方承销深圳市政府债券情况进行监督检查。</w:t>
      </w:r>
    </w:p>
    <w:p>
      <w:pPr>
        <w:spacing w:beforeLines="0" w:afterLines="0" w:line="579" w:lineRule="exact"/>
        <w:ind w:left="-360" w:right="-300" w:firstLine="588"/>
        <w:rPr>
          <w:sz w:val="24"/>
        </w:rPr>
      </w:pPr>
      <w:r>
        <w:rPr>
          <w:rFonts w:hint="eastAsia"/>
          <w:b/>
          <w:sz w:val="24"/>
        </w:rPr>
        <w:t>第五条</w:t>
      </w:r>
      <w:r>
        <w:rPr>
          <w:rFonts w:hint="eastAsia"/>
          <w:sz w:val="24"/>
        </w:rPr>
        <w:t xml:space="preserve"> 甲方义务：</w:t>
      </w:r>
    </w:p>
    <w:p>
      <w:pPr>
        <w:spacing w:beforeLines="0" w:afterLines="0" w:line="579" w:lineRule="exact"/>
        <w:ind w:left="-359" w:leftChars="-171" w:right="-300" w:firstLine="480" w:firstLineChars="200"/>
        <w:rPr>
          <w:sz w:val="24"/>
        </w:rPr>
      </w:pPr>
      <w:r>
        <w:rPr>
          <w:rFonts w:hint="eastAsia"/>
          <w:sz w:val="24"/>
        </w:rPr>
        <w:t>1．</w:t>
      </w:r>
      <w:r>
        <w:rPr>
          <w:rFonts w:hint="eastAsia" w:ascii="宋体"/>
          <w:sz w:val="24"/>
        </w:rPr>
        <w:t>不晚于各期深圳市政府债券发行日</w:t>
      </w:r>
      <w:r>
        <w:rPr>
          <w:rFonts w:hint="eastAsia"/>
          <w:sz w:val="24"/>
        </w:rPr>
        <w:t>前5个工作日，通过中国债券信息网和甲方门户网站等渠道公布当期债券发行信息及相关情况。</w:t>
      </w:r>
    </w:p>
    <w:p>
      <w:pPr>
        <w:spacing w:beforeLines="0" w:afterLines="0" w:line="579" w:lineRule="exact"/>
        <w:ind w:left="-359" w:leftChars="-171" w:right="-300" w:firstLine="480" w:firstLineChars="200"/>
        <w:rPr>
          <w:sz w:val="24"/>
        </w:rPr>
      </w:pPr>
      <w:r>
        <w:rPr>
          <w:rFonts w:hint="eastAsia"/>
          <w:sz w:val="24"/>
        </w:rPr>
        <w:t>2．按照中央国债登记结算有限责任公司的有关规定，办理深圳市政府债券托管、流通、兑付和信息披露等事项。</w:t>
      </w:r>
    </w:p>
    <w:p>
      <w:pPr>
        <w:spacing w:beforeLines="0" w:afterLines="0" w:line="579" w:lineRule="exact"/>
        <w:ind w:left="-360" w:right="-300" w:firstLine="480" w:firstLineChars="200"/>
        <w:rPr>
          <w:sz w:val="24"/>
          <w:u w:val="single"/>
        </w:rPr>
      </w:pPr>
      <w:r>
        <w:rPr>
          <w:rFonts w:hint="eastAsia"/>
          <w:sz w:val="24"/>
        </w:rPr>
        <w:t>3．在甲方指定账户足额收到乙方发行款后</w:t>
      </w:r>
      <w:r>
        <w:rPr>
          <w:sz w:val="24"/>
        </w:rPr>
        <w:t>5</w:t>
      </w:r>
      <w:r>
        <w:rPr>
          <w:rFonts w:hint="eastAsia"/>
          <w:sz w:val="24"/>
        </w:rPr>
        <w:t>个工作日内（含第5个工作日），向乙方支付发行费。发行费率按甲方公布的债券招标发行兑付办法执行。</w:t>
      </w:r>
    </w:p>
    <w:p>
      <w:pPr>
        <w:spacing w:beforeLines="0" w:afterLines="0" w:line="579" w:lineRule="exact"/>
        <w:ind w:left="-360" w:right="-300" w:firstLine="480" w:firstLineChars="200"/>
        <w:rPr>
          <w:sz w:val="24"/>
          <w:u w:val="single"/>
        </w:rPr>
      </w:pPr>
      <w:r>
        <w:rPr>
          <w:rFonts w:hint="eastAsia"/>
          <w:sz w:val="24"/>
        </w:rPr>
        <w:t>4．在深圳市政府债券付息日及到期日，及时足额还本付息。</w:t>
      </w:r>
    </w:p>
    <w:p>
      <w:pPr>
        <w:spacing w:beforeLines="0" w:afterLines="0" w:line="579" w:lineRule="exact"/>
        <w:ind w:right="-300" w:firstLine="120" w:firstLineChars="50"/>
        <w:rPr>
          <w:sz w:val="24"/>
        </w:rPr>
      </w:pPr>
      <w:r>
        <w:rPr>
          <w:rFonts w:hint="eastAsia"/>
          <w:sz w:val="24"/>
        </w:rPr>
        <w:t>5．对深圳市政府债券发行及相关政策进行解释。</w:t>
      </w:r>
    </w:p>
    <w:p>
      <w:pPr>
        <w:spacing w:beforeLines="0" w:afterLines="0" w:line="579" w:lineRule="exact"/>
        <w:ind w:right="-300" w:firstLine="120" w:firstLineChars="50"/>
        <w:rPr>
          <w:sz w:val="24"/>
        </w:rPr>
      </w:pPr>
    </w:p>
    <w:p>
      <w:pPr>
        <w:pStyle w:val="7"/>
        <w:numPr>
          <w:ilvl w:val="0"/>
          <w:numId w:val="1"/>
        </w:numPr>
        <w:spacing w:beforeLines="0" w:afterLines="0" w:line="579" w:lineRule="exact"/>
        <w:ind w:right="0" w:firstLine="0" w:firstLineChars="0"/>
        <w:jc w:val="center"/>
        <w:rPr>
          <w:rFonts w:hint="eastAsia" w:ascii="黑体" w:hAnsi="黑体" w:eastAsia="黑体"/>
          <w:b/>
          <w:sz w:val="24"/>
          <w:szCs w:val="24"/>
          <w:shd w:val="pct10" w:color="auto" w:fill="FFFFFF"/>
        </w:rPr>
      </w:pPr>
      <w:r>
        <w:rPr>
          <w:rFonts w:hint="eastAsia" w:ascii="黑体" w:hAnsi="黑体" w:eastAsia="黑体"/>
          <w:b/>
          <w:sz w:val="24"/>
          <w:szCs w:val="24"/>
          <w:shd w:val="pct10" w:color="auto" w:fill="FFFFFF"/>
        </w:rPr>
        <w:t>乙方权利和义务</w:t>
      </w:r>
    </w:p>
    <w:p>
      <w:pPr>
        <w:spacing w:beforeLines="0" w:afterLines="0" w:line="579" w:lineRule="exact"/>
        <w:ind w:left="-360" w:right="-300" w:firstLine="588"/>
        <w:rPr>
          <w:sz w:val="24"/>
        </w:rPr>
      </w:pPr>
      <w:r>
        <w:rPr>
          <w:rFonts w:hint="eastAsia"/>
          <w:b/>
          <w:sz w:val="24"/>
        </w:rPr>
        <w:t>第六条</w:t>
      </w:r>
      <w:r>
        <w:rPr>
          <w:rFonts w:hint="eastAsia"/>
          <w:sz w:val="24"/>
        </w:rPr>
        <w:t xml:space="preserve"> 乙方权利：</w:t>
      </w:r>
    </w:p>
    <w:p>
      <w:pPr>
        <w:spacing w:beforeLines="0" w:afterLines="0" w:line="579" w:lineRule="exact"/>
        <w:ind w:left="-360" w:right="-300" w:firstLine="588"/>
        <w:rPr>
          <w:sz w:val="24"/>
        </w:rPr>
      </w:pPr>
      <w:r>
        <w:rPr>
          <w:rFonts w:hint="eastAsia"/>
          <w:sz w:val="24"/>
        </w:rPr>
        <w:t>1．对深圳市政府债券发行工作，包括发行方式和管理办法等提出意见和建议。</w:t>
      </w:r>
    </w:p>
    <w:p>
      <w:pPr>
        <w:spacing w:beforeLines="0" w:afterLines="0" w:line="579" w:lineRule="exact"/>
        <w:ind w:left="-360" w:right="-300" w:firstLine="588"/>
        <w:rPr>
          <w:rFonts w:ascii="宋体"/>
          <w:sz w:val="24"/>
        </w:rPr>
      </w:pPr>
      <w:r>
        <w:rPr>
          <w:rFonts w:hint="eastAsia"/>
          <w:sz w:val="24"/>
        </w:rPr>
        <w:t>2．</w:t>
      </w:r>
      <w:r>
        <w:rPr>
          <w:rFonts w:hint="eastAsia" w:ascii="宋体"/>
          <w:sz w:val="24"/>
        </w:rPr>
        <w:t>参加深圳市政府债券竞争性招投标，按中标额度直接承销深圳市政府债券。</w:t>
      </w:r>
    </w:p>
    <w:p>
      <w:pPr>
        <w:spacing w:beforeLines="0" w:afterLines="0" w:line="579" w:lineRule="exact"/>
        <w:ind w:left="-360" w:right="-300" w:firstLine="588"/>
        <w:rPr>
          <w:sz w:val="24"/>
        </w:rPr>
      </w:pPr>
      <w:r>
        <w:rPr>
          <w:rFonts w:hint="eastAsia"/>
          <w:sz w:val="24"/>
        </w:rPr>
        <w:t>3．按照深圳市政府债券招标发行兑付办法规定，获取发行费。</w:t>
      </w:r>
    </w:p>
    <w:p>
      <w:pPr>
        <w:spacing w:beforeLines="0" w:afterLines="0" w:line="579" w:lineRule="exact"/>
        <w:ind w:left="-360" w:right="-300" w:firstLine="588"/>
        <w:rPr>
          <w:sz w:val="24"/>
        </w:rPr>
      </w:pPr>
      <w:r>
        <w:rPr>
          <w:rFonts w:hint="eastAsia"/>
          <w:sz w:val="24"/>
        </w:rPr>
        <w:t>4．通过规定渠道及时获取深圳市政府债券发行信息。</w:t>
      </w:r>
    </w:p>
    <w:p>
      <w:pPr>
        <w:spacing w:beforeLines="0" w:afterLines="0" w:line="579" w:lineRule="exact"/>
        <w:ind w:left="-360" w:right="-300" w:firstLine="588"/>
        <w:rPr>
          <w:sz w:val="24"/>
        </w:rPr>
      </w:pPr>
      <w:r>
        <w:rPr>
          <w:rFonts w:hint="eastAsia"/>
          <w:sz w:val="24"/>
        </w:rPr>
        <w:t>5．申请退出深圳市政府债券承销团。</w:t>
      </w:r>
    </w:p>
    <w:p>
      <w:pPr>
        <w:spacing w:beforeLines="0" w:afterLines="0" w:line="579" w:lineRule="exact"/>
        <w:ind w:left="0" w:right="-300" w:firstLine="588"/>
        <w:rPr>
          <w:sz w:val="24"/>
        </w:rPr>
      </w:pPr>
      <w:r>
        <w:rPr>
          <w:rFonts w:hint="eastAsia"/>
          <w:b/>
          <w:sz w:val="24"/>
        </w:rPr>
        <w:t xml:space="preserve">第七条 </w:t>
      </w:r>
      <w:r>
        <w:rPr>
          <w:rFonts w:hint="eastAsia"/>
          <w:sz w:val="24"/>
        </w:rPr>
        <w:t>乙方义务：</w:t>
      </w:r>
    </w:p>
    <w:p>
      <w:pPr>
        <w:spacing w:beforeLines="0" w:afterLines="0" w:line="579" w:lineRule="exact"/>
        <w:ind w:left="0" w:leftChars="0" w:right="-300" w:firstLine="480" w:firstLineChars="200"/>
        <w:rPr>
          <w:sz w:val="24"/>
        </w:rPr>
      </w:pPr>
      <w:r>
        <w:rPr>
          <w:rFonts w:hint="eastAsia"/>
          <w:sz w:val="24"/>
        </w:rPr>
        <w:t>1．开通与财政部深圳证券交易所政府债券发行系统相联的专用通讯线路。</w:t>
      </w:r>
    </w:p>
    <w:p>
      <w:pPr>
        <w:spacing w:beforeLines="0" w:afterLines="0" w:line="579" w:lineRule="exact"/>
        <w:ind w:left="-15" w:right="-300" w:firstLine="491" w:firstLineChars="205"/>
        <w:rPr>
          <w:sz w:val="24"/>
        </w:rPr>
      </w:pPr>
      <w:r>
        <w:rPr>
          <w:rFonts w:hint="eastAsia"/>
          <w:sz w:val="24"/>
        </w:rPr>
        <w:t>2．按照甲方公布的债券招标发行规则参加招投标活动，在合理价格区间内进行理性投标，投标应满足债券招标发行规则中明确的主承销商或承销团一般成员最高、最低投标限额和最低承销额的规定。</w:t>
      </w:r>
    </w:p>
    <w:p>
      <w:pPr>
        <w:spacing w:beforeLines="0" w:afterLines="0" w:line="579" w:lineRule="exact"/>
        <w:ind w:left="-15" w:right="-300" w:firstLine="491" w:firstLineChars="205"/>
        <w:rPr>
          <w:sz w:val="24"/>
        </w:rPr>
      </w:pPr>
      <w:r>
        <w:rPr>
          <w:rFonts w:hint="eastAsia"/>
          <w:sz w:val="24"/>
        </w:rPr>
        <w:t>3．深圳市政府债券承销团成员间不得进行代投标。</w:t>
      </w:r>
    </w:p>
    <w:p>
      <w:pPr>
        <w:spacing w:beforeLines="0" w:afterLines="0" w:line="579" w:lineRule="exact"/>
        <w:ind w:left="0" w:right="-300" w:firstLine="480" w:firstLineChars="200"/>
        <w:rPr>
          <w:sz w:val="24"/>
        </w:rPr>
      </w:pPr>
      <w:r>
        <w:rPr>
          <w:rFonts w:hint="eastAsia"/>
          <w:sz w:val="24"/>
        </w:rPr>
        <w:t>4．按照每期债券中标额度及确定的缴款时间向甲方指定账户缴纳发行款，并在附言中注明缴纳的深圳市政府债券简称和乙方机构代码等信息；提供债券发行费收款账户信息。</w:t>
      </w:r>
    </w:p>
    <w:p>
      <w:pPr>
        <w:spacing w:beforeLines="0" w:afterLines="0" w:line="579" w:lineRule="exact"/>
        <w:ind w:left="0" w:right="-300" w:firstLine="480" w:firstLineChars="200"/>
        <w:rPr>
          <w:sz w:val="24"/>
        </w:rPr>
      </w:pPr>
      <w:r>
        <w:rPr>
          <w:rFonts w:hint="eastAsia"/>
          <w:sz w:val="24"/>
        </w:rPr>
        <w:t>5．遇有重大事项及时向甲方通报，并保证各项材料和信息的真实性。</w:t>
      </w:r>
    </w:p>
    <w:p>
      <w:pPr>
        <w:spacing w:beforeLines="0" w:afterLines="0" w:line="579" w:lineRule="exact"/>
        <w:ind w:left="0" w:right="-300" w:firstLine="480" w:firstLineChars="200"/>
        <w:rPr>
          <w:rFonts w:hint="eastAsia"/>
          <w:sz w:val="24"/>
        </w:rPr>
      </w:pPr>
      <w:r>
        <w:rPr>
          <w:rFonts w:hint="eastAsia"/>
          <w:sz w:val="24"/>
        </w:rPr>
        <w:t>6. 乙方及其工作人员应当妥善保管和保护在合同履行中获取或者知悉的资料、信息，不得私自复印、留存、泄漏有关的资料、信息。除非依照法律规定或者经甲方书面同意，乙方不得向第三方提供或披露有关资料和信息，也不得用于履行本合同以外的其他用途，并保证采取一切合理和必要的措施防止任何第三方接触到甲方的上述资料和信息。保密期限自本协议签订生效之日起至保密信息被依法公开披露或成为公开信息之日止。合同中止、终止或者解除不视为解除保密义务，乙方仍应承担保密义务。</w:t>
      </w:r>
    </w:p>
    <w:p>
      <w:pPr>
        <w:spacing w:beforeLines="0" w:afterLines="0" w:line="579" w:lineRule="exact"/>
        <w:ind w:left="-315" w:right="-300" w:firstLine="480" w:firstLineChars="200"/>
        <w:rPr>
          <w:sz w:val="24"/>
        </w:rPr>
      </w:pPr>
    </w:p>
    <w:p>
      <w:pPr>
        <w:pStyle w:val="7"/>
        <w:numPr>
          <w:ilvl w:val="0"/>
          <w:numId w:val="1"/>
        </w:numPr>
        <w:spacing w:beforeLines="0" w:afterLines="0" w:line="579" w:lineRule="exact"/>
        <w:ind w:right="0" w:firstLine="0" w:firstLineChars="0"/>
        <w:jc w:val="center"/>
        <w:rPr>
          <w:rFonts w:hint="eastAsia" w:ascii="黑体" w:hAnsi="黑体" w:eastAsia="黑体"/>
          <w:b/>
          <w:sz w:val="24"/>
          <w:szCs w:val="24"/>
          <w:shd w:val="pct10" w:color="auto" w:fill="FFFFFF"/>
        </w:rPr>
      </w:pPr>
      <w:r>
        <w:rPr>
          <w:rFonts w:hint="eastAsia" w:ascii="黑体" w:hAnsi="黑体" w:eastAsia="黑体"/>
          <w:b/>
          <w:sz w:val="24"/>
          <w:szCs w:val="24"/>
          <w:shd w:val="pct10" w:color="auto" w:fill="FFFFFF"/>
        </w:rPr>
        <w:t>违约责任</w:t>
      </w:r>
    </w:p>
    <w:p>
      <w:pPr>
        <w:spacing w:beforeLines="0" w:afterLines="0" w:line="579" w:lineRule="exact"/>
        <w:ind w:left="0" w:right="-300"/>
        <w:rPr>
          <w:sz w:val="24"/>
        </w:rPr>
      </w:pPr>
      <w:r>
        <w:rPr>
          <w:rFonts w:hint="eastAsia"/>
          <w:sz w:val="24"/>
          <w:lang w:val="en-US" w:eastAsia="zh-CN"/>
        </w:rPr>
        <w:t xml:space="preserve">    </w:t>
      </w:r>
      <w:r>
        <w:rPr>
          <w:rFonts w:hint="eastAsia"/>
          <w:b/>
          <w:sz w:val="24"/>
        </w:rPr>
        <w:t>第八条</w:t>
      </w:r>
      <w:r>
        <w:rPr>
          <w:rFonts w:hint="eastAsia"/>
          <w:sz w:val="24"/>
        </w:rPr>
        <w:t xml:space="preserve"> 除发生不可抗拒因素外，违约责任按以下各项执行：</w:t>
      </w:r>
    </w:p>
    <w:p>
      <w:pPr>
        <w:spacing w:beforeLines="0" w:afterLines="0" w:line="579" w:lineRule="exact"/>
        <w:ind w:left="0" w:right="-300"/>
        <w:rPr>
          <w:sz w:val="24"/>
        </w:rPr>
      </w:pPr>
      <w:r>
        <w:rPr>
          <w:sz w:val="24"/>
        </w:rPr>
        <w:t xml:space="preserve">    </w:t>
      </w:r>
      <w:r>
        <w:rPr>
          <w:rFonts w:hint="eastAsia"/>
          <w:sz w:val="24"/>
        </w:rPr>
        <w:t>1．甲方违反本协议第五条第3款规定，未按时足额向乙方支付债券发行费的，按逾期支付额和逾期天数，以当期债券票面利率的两倍折成日息向乙方支付违约金。</w:t>
      </w:r>
    </w:p>
    <w:p>
      <w:pPr>
        <w:spacing w:beforeLines="0" w:afterLines="0" w:line="579" w:lineRule="exact"/>
        <w:ind w:left="0" w:right="-300"/>
        <w:rPr>
          <w:sz w:val="24"/>
        </w:rPr>
      </w:pPr>
      <w:r>
        <w:rPr>
          <w:sz w:val="24"/>
        </w:rPr>
        <w:t xml:space="preserve">    </w:t>
      </w:r>
      <w:r>
        <w:rPr>
          <w:rFonts w:hint="eastAsia"/>
          <w:sz w:val="24"/>
        </w:rPr>
        <w:t>2．乙方违反本协议第七条第4款规定，未按时足额缴付发行款的</w:t>
      </w:r>
      <w:r>
        <w:rPr>
          <w:sz w:val="24"/>
        </w:rPr>
        <w:t>，</w:t>
      </w:r>
      <w:r>
        <w:rPr>
          <w:rFonts w:hint="eastAsia"/>
          <w:sz w:val="24"/>
        </w:rPr>
        <w:t>按逾期支付额和逾期天数，以当期债券票面利率的两倍折成日息向甲方支付违约金；相关违约金由甲方先从应拨乙方发行费等费用中抵扣，发行费等费用不足以抵扣部分，由乙方及时缴纳。</w:t>
      </w:r>
    </w:p>
    <w:p>
      <w:pPr>
        <w:pStyle w:val="3"/>
        <w:spacing w:beforeLines="0" w:afterLines="0" w:line="579" w:lineRule="exact"/>
        <w:ind w:left="0"/>
        <w:rPr>
          <w:sz w:val="24"/>
          <w:szCs w:val="24"/>
        </w:rPr>
      </w:pPr>
      <w:r>
        <w:rPr>
          <w:rFonts w:hint="eastAsia"/>
          <w:b/>
          <w:sz w:val="24"/>
          <w:szCs w:val="24"/>
        </w:rPr>
        <w:t>第九条</w:t>
      </w:r>
      <w:r>
        <w:rPr>
          <w:rFonts w:hint="eastAsia"/>
          <w:sz w:val="24"/>
          <w:szCs w:val="24"/>
        </w:rPr>
        <w:t xml:space="preserve"> 乙方</w:t>
      </w:r>
      <w:r>
        <w:rPr>
          <w:rFonts w:hint="eastAsia" w:ascii="宋体"/>
          <w:sz w:val="24"/>
          <w:szCs w:val="24"/>
        </w:rPr>
        <w:t>有下列行为之一的，甲方</w:t>
      </w:r>
      <w:r>
        <w:rPr>
          <w:rFonts w:hint="eastAsia"/>
          <w:sz w:val="24"/>
          <w:szCs w:val="24"/>
        </w:rPr>
        <w:t>有权取消其承销团成员资格并向社会公告，本协议终止，若因此给甲方造成不良影响或造成损失的，甲方有权要求乙方消除影响，承担相应赔偿责任：</w:t>
      </w:r>
    </w:p>
    <w:p>
      <w:pPr>
        <w:spacing w:beforeLines="0" w:afterLines="0" w:line="579" w:lineRule="exact"/>
        <w:ind w:left="-357" w:right="-301" w:firstLine="600"/>
        <w:rPr>
          <w:rFonts w:hint="eastAsia" w:ascii="宋体" w:hAnsi="宋体"/>
          <w:sz w:val="24"/>
        </w:rPr>
      </w:pPr>
      <w:r>
        <w:rPr>
          <w:rFonts w:hint="eastAsia" w:ascii="宋体" w:hAnsi="宋体"/>
          <w:sz w:val="24"/>
        </w:rPr>
        <w:t>1．与“承销团成员应当是在中国境内依法成立的金融机构，具有债券承销业务资格，资本充足率、偿付能力或者净资本状况等指标达到监管标准”的规定不符。</w:t>
      </w:r>
    </w:p>
    <w:p>
      <w:pPr>
        <w:spacing w:beforeLines="0" w:afterLines="0" w:line="579" w:lineRule="exact"/>
        <w:ind w:left="-357" w:right="-301" w:firstLine="600"/>
        <w:rPr>
          <w:rFonts w:ascii="宋体" w:hAnsi="宋体"/>
          <w:sz w:val="24"/>
        </w:rPr>
      </w:pPr>
      <w:r>
        <w:rPr>
          <w:rFonts w:hint="eastAsia" w:ascii="宋体" w:hAnsi="宋体"/>
          <w:sz w:val="24"/>
        </w:rPr>
        <w:t>2．出现重大违法行为，或者财务状况恶化，难以继续履行承销团成员义务。</w:t>
      </w:r>
    </w:p>
    <w:p>
      <w:pPr>
        <w:pStyle w:val="3"/>
        <w:spacing w:beforeLines="0" w:afterLines="0" w:line="579" w:lineRule="exact"/>
        <w:rPr>
          <w:rFonts w:hint="eastAsia" w:ascii="宋体" w:hAnsi="宋体" w:eastAsia="宋体" w:cs="宋体"/>
          <w:sz w:val="24"/>
          <w:szCs w:val="24"/>
        </w:rPr>
      </w:pPr>
      <w:r>
        <w:rPr>
          <w:rFonts w:hint="eastAsia" w:ascii="宋体" w:hAnsi="宋体" w:eastAsia="宋体" w:cs="宋体"/>
          <w:sz w:val="24"/>
          <w:szCs w:val="24"/>
        </w:rPr>
        <w:t>3．年度内投标量未达到承销团一般成员规定比例的累计期数超过全年深圳市公开发行政府债券期数30%的。</w:t>
      </w:r>
    </w:p>
    <w:p>
      <w:pPr>
        <w:pStyle w:val="3"/>
        <w:spacing w:beforeLines="0" w:afterLines="0" w:line="579" w:lineRule="exact"/>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sz w:val="24"/>
        </w:rPr>
        <w:t>．</w:t>
      </w:r>
      <w:r>
        <w:rPr>
          <w:rFonts w:hint="eastAsia" w:ascii="宋体" w:hAnsi="宋体" w:eastAsia="宋体" w:cs="宋体"/>
          <w:sz w:val="24"/>
          <w:szCs w:val="24"/>
        </w:rPr>
        <w:t>年度内累计承销深圳市公开发行政府债券金额为零的。</w:t>
      </w:r>
    </w:p>
    <w:p>
      <w:pPr>
        <w:spacing w:beforeLines="0" w:afterLines="0" w:line="579" w:lineRule="exact"/>
        <w:ind w:left="-357" w:right="-301" w:firstLine="600"/>
        <w:rPr>
          <w:rFonts w:ascii="宋体" w:hAnsi="宋体"/>
          <w:sz w:val="24"/>
        </w:rPr>
      </w:pPr>
      <w:r>
        <w:rPr>
          <w:rFonts w:hint="eastAsia" w:ascii="宋体" w:hAnsi="宋体"/>
          <w:sz w:val="24"/>
        </w:rPr>
        <w:t>5．超承销额度分销，或向深圳市政府债券承销团其他成员分销。</w:t>
      </w:r>
    </w:p>
    <w:p>
      <w:pPr>
        <w:spacing w:beforeLines="0" w:afterLines="0" w:line="579" w:lineRule="exact"/>
        <w:ind w:left="-357" w:right="-301" w:firstLine="600"/>
        <w:rPr>
          <w:rFonts w:hint="eastAsia" w:ascii="宋体" w:hAnsi="宋体"/>
          <w:sz w:val="24"/>
        </w:rPr>
      </w:pPr>
      <w:r>
        <w:rPr>
          <w:rFonts w:hint="eastAsia" w:ascii="宋体" w:hAnsi="宋体"/>
          <w:sz w:val="24"/>
        </w:rPr>
        <w:t>6．伪造深圳市政府债券账务记录，提供虚假材料和信息。</w:t>
      </w:r>
    </w:p>
    <w:p>
      <w:pPr>
        <w:spacing w:beforeLines="0" w:afterLines="0" w:line="579" w:lineRule="exact"/>
        <w:ind w:left="-357" w:right="-301" w:firstLine="600"/>
        <w:rPr>
          <w:rFonts w:hint="eastAsia" w:ascii="宋体" w:hAnsi="宋体"/>
          <w:sz w:val="24"/>
        </w:rPr>
      </w:pPr>
    </w:p>
    <w:p>
      <w:pPr>
        <w:pStyle w:val="7"/>
        <w:numPr>
          <w:ilvl w:val="0"/>
          <w:numId w:val="1"/>
        </w:numPr>
        <w:spacing w:beforeLines="0" w:afterLines="0" w:line="579" w:lineRule="exact"/>
        <w:ind w:right="0" w:firstLine="0" w:firstLineChars="0"/>
        <w:jc w:val="center"/>
        <w:rPr>
          <w:rFonts w:hint="eastAsia" w:ascii="黑体" w:hAnsi="黑体" w:eastAsia="黑体"/>
          <w:b/>
          <w:sz w:val="24"/>
          <w:szCs w:val="24"/>
          <w:shd w:val="pct10" w:color="auto" w:fill="FFFFFF"/>
        </w:rPr>
      </w:pPr>
      <w:r>
        <w:rPr>
          <w:rFonts w:hint="eastAsia" w:ascii="黑体" w:hAnsi="黑体" w:eastAsia="黑体"/>
          <w:b/>
          <w:sz w:val="24"/>
          <w:szCs w:val="24"/>
          <w:shd w:val="pct10" w:color="auto" w:fill="FFFFFF"/>
        </w:rPr>
        <w:t>争议解决</w:t>
      </w:r>
    </w:p>
    <w:p>
      <w:pPr>
        <w:spacing w:beforeLines="0" w:afterLines="0" w:line="579" w:lineRule="exact"/>
        <w:ind w:left="-357" w:right="-301" w:firstLine="600"/>
        <w:rPr>
          <w:rFonts w:ascii="宋体" w:hAnsi="宋体"/>
          <w:sz w:val="24"/>
        </w:rPr>
      </w:pPr>
      <w:r>
        <w:rPr>
          <w:rFonts w:hint="eastAsia"/>
          <w:b/>
          <w:sz w:val="24"/>
        </w:rPr>
        <w:t xml:space="preserve">第十条 </w:t>
      </w:r>
      <w:r>
        <w:rPr>
          <w:rFonts w:hint="eastAsia" w:ascii="宋体" w:hAnsi="宋体"/>
          <w:sz w:val="24"/>
        </w:rPr>
        <w:t>双方因履行本合同发生争议的，可协商解决，无法协商解决的，应向甲方住所地有管辖权的人民法院提起诉讼。</w:t>
      </w:r>
    </w:p>
    <w:p>
      <w:pPr>
        <w:spacing w:beforeLines="0" w:afterLines="0" w:line="579" w:lineRule="exact"/>
        <w:ind w:left="-357" w:right="-301" w:firstLine="600"/>
        <w:rPr>
          <w:rFonts w:ascii="宋体" w:hAnsi="宋体"/>
          <w:sz w:val="24"/>
        </w:rPr>
      </w:pPr>
    </w:p>
    <w:p>
      <w:pPr>
        <w:pStyle w:val="7"/>
        <w:numPr>
          <w:ilvl w:val="0"/>
          <w:numId w:val="1"/>
        </w:numPr>
        <w:spacing w:beforeLines="0" w:afterLines="0" w:line="579" w:lineRule="exact"/>
        <w:ind w:right="0" w:firstLine="0" w:firstLineChars="0"/>
        <w:jc w:val="center"/>
        <w:rPr>
          <w:rFonts w:hint="eastAsia" w:ascii="黑体" w:hAnsi="黑体" w:eastAsia="黑体"/>
          <w:b/>
          <w:sz w:val="24"/>
          <w:szCs w:val="24"/>
          <w:shd w:val="pct10" w:color="auto" w:fill="FFFFFF"/>
        </w:rPr>
      </w:pPr>
      <w:r>
        <w:rPr>
          <w:rFonts w:hint="eastAsia" w:ascii="黑体" w:hAnsi="黑体" w:eastAsia="黑体"/>
          <w:b/>
          <w:sz w:val="24"/>
          <w:szCs w:val="24"/>
          <w:shd w:val="pct10" w:color="auto" w:fill="FFFFFF"/>
        </w:rPr>
        <w:t>附  则</w:t>
      </w:r>
    </w:p>
    <w:p>
      <w:pPr>
        <w:spacing w:beforeLines="0" w:afterLines="0" w:line="579" w:lineRule="exact"/>
        <w:ind w:left="-360" w:right="-300" w:firstLine="600"/>
        <w:rPr>
          <w:rFonts w:hint="eastAsia"/>
          <w:sz w:val="24"/>
        </w:rPr>
      </w:pPr>
      <w:r>
        <w:rPr>
          <w:rFonts w:hint="eastAsia"/>
          <w:b/>
          <w:sz w:val="24"/>
        </w:rPr>
        <w:t>第十一条</w:t>
      </w:r>
      <w:r>
        <w:rPr>
          <w:rFonts w:hint="eastAsia"/>
          <w:sz w:val="24"/>
        </w:rPr>
        <w:t xml:space="preserve"> 本协议在有效期内，如遇国家有关地方政府债券发行、登记托管及流通转让政策发生变化，以变化后的国家有关政策为准。</w:t>
      </w:r>
    </w:p>
    <w:p>
      <w:pPr>
        <w:spacing w:beforeLines="0" w:afterLines="0" w:line="579" w:lineRule="exact"/>
        <w:ind w:left="-360" w:right="-300" w:firstLine="600"/>
        <w:rPr>
          <w:sz w:val="24"/>
        </w:rPr>
      </w:pPr>
      <w:r>
        <w:rPr>
          <w:rFonts w:hint="eastAsia"/>
          <w:b/>
          <w:sz w:val="24"/>
        </w:rPr>
        <w:t xml:space="preserve">第十二条 </w:t>
      </w:r>
      <w:r>
        <w:rPr>
          <w:rFonts w:hint="eastAsia"/>
          <w:sz w:val="24"/>
        </w:rPr>
        <w:t>本协议未作约定的，甲方已制定和将来制定的关于债券承销的相关规定或者文件对乙方亦具有约束力，乙方违反的，视为违约。</w:t>
      </w:r>
    </w:p>
    <w:p>
      <w:pPr>
        <w:spacing w:beforeLines="0" w:afterLines="0" w:line="579" w:lineRule="exact"/>
        <w:ind w:left="-360" w:right="-300" w:firstLine="600"/>
        <w:rPr>
          <w:sz w:val="24"/>
        </w:rPr>
      </w:pPr>
      <w:r>
        <w:rPr>
          <w:rFonts w:hint="eastAsia"/>
          <w:b/>
          <w:sz w:val="24"/>
        </w:rPr>
        <w:t xml:space="preserve">第十三条 </w:t>
      </w:r>
      <w:r>
        <w:rPr>
          <w:rFonts w:hint="eastAsia"/>
          <w:sz w:val="24"/>
        </w:rPr>
        <w:t>本协议的未尽事宜，经甲乙双方协商一致，可签订其他补充协议。本协议与补充协议不一致的，以补充协议为准。</w:t>
      </w:r>
    </w:p>
    <w:p>
      <w:pPr>
        <w:spacing w:beforeLines="0" w:afterLines="0" w:line="579" w:lineRule="exact"/>
        <w:ind w:left="-360" w:right="-300" w:firstLine="588"/>
        <w:rPr>
          <w:sz w:val="24"/>
        </w:rPr>
      </w:pPr>
      <w:r>
        <w:rPr>
          <w:rFonts w:hint="eastAsia"/>
          <w:b/>
          <w:sz w:val="24"/>
        </w:rPr>
        <w:t xml:space="preserve">第十四条 </w:t>
      </w:r>
      <w:r>
        <w:rPr>
          <w:rFonts w:hint="eastAsia"/>
          <w:sz w:val="24"/>
        </w:rPr>
        <w:t>根据乙方授权其分行（分公司）的授权委托书或其他证明文件，本协议可由乙方的相应分行（分支机构）代为签署。</w:t>
      </w:r>
    </w:p>
    <w:p>
      <w:pPr>
        <w:spacing w:beforeLines="0" w:afterLines="0" w:line="579" w:lineRule="exact"/>
        <w:ind w:left="-360" w:right="-300" w:firstLine="588"/>
        <w:rPr>
          <w:sz w:val="24"/>
        </w:rPr>
      </w:pPr>
      <w:r>
        <w:rPr>
          <w:rFonts w:hint="eastAsia"/>
          <w:b/>
          <w:sz w:val="24"/>
        </w:rPr>
        <w:t xml:space="preserve">第十五条 </w:t>
      </w:r>
      <w:r>
        <w:rPr>
          <w:rFonts w:hint="eastAsia"/>
          <w:sz w:val="24"/>
        </w:rPr>
        <w:t>本协议自</w:t>
      </w:r>
      <w:r>
        <w:rPr>
          <w:rFonts w:hint="eastAsia"/>
          <w:sz w:val="24"/>
          <w:lang w:eastAsia="zh-CN"/>
        </w:rPr>
        <w:t>签订之</w:t>
      </w:r>
      <w:r>
        <w:rPr>
          <w:rFonts w:hint="eastAsia"/>
          <w:sz w:val="24"/>
        </w:rPr>
        <w:t>日</w:t>
      </w:r>
      <w:r>
        <w:rPr>
          <w:rFonts w:hint="eastAsia"/>
          <w:sz w:val="24"/>
          <w:lang w:eastAsia="zh-CN"/>
        </w:rPr>
        <w:t>起</w:t>
      </w:r>
      <w:r>
        <w:rPr>
          <w:rFonts w:hint="eastAsia"/>
          <w:sz w:val="24"/>
        </w:rPr>
        <w:t>生效，至2023年12月31日终止。</w:t>
      </w:r>
    </w:p>
    <w:p>
      <w:pPr>
        <w:spacing w:beforeLines="0" w:afterLines="0" w:line="579" w:lineRule="exact"/>
        <w:ind w:left="-360" w:right="-300" w:firstLine="588"/>
        <w:rPr>
          <w:sz w:val="24"/>
        </w:rPr>
      </w:pPr>
      <w:r>
        <w:rPr>
          <w:rFonts w:hint="eastAsia"/>
          <w:b/>
          <w:sz w:val="24"/>
        </w:rPr>
        <w:t xml:space="preserve">第十六条 </w:t>
      </w:r>
      <w:r>
        <w:rPr>
          <w:rFonts w:hint="eastAsia"/>
          <w:sz w:val="24"/>
        </w:rPr>
        <w:t>本协议正式文本一式肆份，甲乙双方各执两份，具有同等法律效力。</w:t>
      </w:r>
    </w:p>
    <w:p>
      <w:pPr>
        <w:spacing w:beforeLines="0" w:afterLines="0" w:line="579" w:lineRule="exact"/>
        <w:ind w:right="-300"/>
        <w:rPr>
          <w:sz w:val="24"/>
        </w:rPr>
      </w:pPr>
      <w:r>
        <w:rPr>
          <w:rFonts w:hint="eastAsia"/>
          <w:sz w:val="24"/>
        </w:rPr>
        <w:t xml:space="preserve"> </w:t>
      </w:r>
    </w:p>
    <w:p>
      <w:pPr>
        <w:spacing w:beforeLines="0" w:afterLines="0" w:line="579" w:lineRule="exact"/>
        <w:ind w:left="-360" w:right="-300" w:firstLine="588"/>
        <w:rPr>
          <w:rFonts w:hint="eastAsia" w:eastAsia="宋体"/>
          <w:sz w:val="24"/>
          <w:lang w:eastAsia="zh-CN"/>
        </w:rPr>
      </w:pPr>
      <w:r>
        <w:rPr>
          <w:rFonts w:hint="eastAsia"/>
          <w:sz w:val="24"/>
          <w:lang w:eastAsia="zh-CN"/>
        </w:rPr>
        <w:t>（以下为签字页）</w:t>
      </w:r>
    </w:p>
    <w:p>
      <w:pPr>
        <w:spacing w:beforeLines="0" w:afterLines="0" w:line="579" w:lineRule="exact"/>
        <w:ind w:left="-360" w:right="-300" w:firstLine="588"/>
        <w:rPr>
          <w:sz w:val="24"/>
        </w:rPr>
      </w:pPr>
    </w:p>
    <w:p>
      <w:pPr>
        <w:spacing w:beforeLines="0" w:afterLines="0" w:line="579" w:lineRule="exact"/>
        <w:ind w:right="-300" w:firstLine="420" w:firstLineChars="175"/>
        <w:rPr>
          <w:sz w:val="24"/>
        </w:rPr>
      </w:pPr>
      <w:r>
        <w:rPr>
          <w:rFonts w:hint="eastAsia"/>
          <w:sz w:val="24"/>
        </w:rPr>
        <w:t>甲方代表</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乙方代表</w:t>
      </w:r>
      <w:r>
        <w:rPr>
          <w:sz w:val="24"/>
        </w:rPr>
        <w:t>:</w:t>
      </w:r>
    </w:p>
    <w:p>
      <w:pPr>
        <w:spacing w:beforeLines="0" w:afterLines="0" w:line="579" w:lineRule="exact"/>
        <w:ind w:left="-360" w:right="-300"/>
        <w:rPr>
          <w:sz w:val="24"/>
        </w:rPr>
      </w:pPr>
      <w:r>
        <w:rPr>
          <w:sz w:val="24"/>
        </w:rPr>
        <w:t xml:space="preserve">    </w:t>
      </w:r>
      <w:r>
        <w:rPr>
          <w:rFonts w:hint="eastAsia"/>
          <w:sz w:val="24"/>
        </w:rPr>
        <w:t xml:space="preserve">　 </w:t>
      </w:r>
      <w:r>
        <w:rPr>
          <w:sz w:val="24"/>
        </w:rPr>
        <w:t>(</w:t>
      </w:r>
      <w:r>
        <w:rPr>
          <w:rFonts w:hint="eastAsia"/>
          <w:sz w:val="24"/>
        </w:rPr>
        <w:t>签字</w:t>
      </w:r>
      <w:r>
        <w:rPr>
          <w:sz w:val="24"/>
        </w:rPr>
        <w:t xml:space="preserve">)                   </w:t>
      </w:r>
      <w:r>
        <w:rPr>
          <w:rFonts w:hint="eastAsia"/>
          <w:sz w:val="24"/>
        </w:rPr>
        <w:t xml:space="preserve">    </w:t>
      </w:r>
      <w:r>
        <w:rPr>
          <w:sz w:val="24"/>
        </w:rPr>
        <w:t xml:space="preserve"> </w:t>
      </w:r>
      <w:r>
        <w:rPr>
          <w:rFonts w:hint="eastAsia"/>
          <w:sz w:val="24"/>
        </w:rPr>
        <w:t xml:space="preserve">        </w:t>
      </w:r>
      <w:r>
        <w:rPr>
          <w:sz w:val="24"/>
        </w:rPr>
        <w:t>(</w:t>
      </w:r>
      <w:r>
        <w:rPr>
          <w:rFonts w:hint="eastAsia"/>
          <w:sz w:val="24"/>
        </w:rPr>
        <w:t>签字</w:t>
      </w:r>
      <w:r>
        <w:rPr>
          <w:sz w:val="24"/>
        </w:rPr>
        <w:t>)</w:t>
      </w:r>
    </w:p>
    <w:p>
      <w:pPr>
        <w:spacing w:beforeLines="0" w:afterLines="0" w:line="579" w:lineRule="exact"/>
        <w:ind w:left="-360" w:right="-300"/>
        <w:rPr>
          <w:sz w:val="24"/>
        </w:rPr>
      </w:pPr>
    </w:p>
    <w:p>
      <w:pPr>
        <w:spacing w:beforeLines="0" w:afterLines="0" w:line="579" w:lineRule="exact"/>
        <w:ind w:left="-360" w:right="-300"/>
        <w:rPr>
          <w:sz w:val="24"/>
        </w:rPr>
      </w:pPr>
      <w:r>
        <w:rPr>
          <w:sz w:val="24"/>
        </w:rPr>
        <w:t xml:space="preserve">    </w:t>
      </w:r>
      <w:r>
        <w:rPr>
          <w:rFonts w:hint="eastAsia"/>
          <w:sz w:val="24"/>
        </w:rPr>
        <w:t xml:space="preserve">　 </w:t>
      </w:r>
      <w:r>
        <w:rPr>
          <w:sz w:val="24"/>
        </w:rPr>
        <w:t>(</w:t>
      </w:r>
      <w:r>
        <w:rPr>
          <w:rFonts w:hint="eastAsia"/>
          <w:sz w:val="24"/>
        </w:rPr>
        <w:t>甲方公章</w:t>
      </w:r>
      <w:r>
        <w:rPr>
          <w:sz w:val="24"/>
        </w:rPr>
        <w:t xml:space="preserve">)                    </w:t>
      </w:r>
      <w:r>
        <w:rPr>
          <w:rFonts w:hint="eastAsia"/>
          <w:sz w:val="24"/>
        </w:rPr>
        <w:t xml:space="preserve">        </w:t>
      </w:r>
      <w:r>
        <w:rPr>
          <w:sz w:val="24"/>
        </w:rPr>
        <w:t>(</w:t>
      </w:r>
      <w:r>
        <w:rPr>
          <w:rFonts w:hint="eastAsia"/>
          <w:sz w:val="24"/>
        </w:rPr>
        <w:t>乙方公章</w:t>
      </w:r>
      <w:r>
        <w:rPr>
          <w:sz w:val="24"/>
        </w:rPr>
        <w:t>)</w:t>
      </w:r>
    </w:p>
    <w:p>
      <w:pPr>
        <w:spacing w:beforeLines="0" w:afterLines="0" w:line="579" w:lineRule="exact"/>
        <w:ind w:left="1" w:right="-300" w:firstLine="208" w:firstLineChars="87"/>
        <w:rPr>
          <w:sz w:val="24"/>
        </w:rPr>
      </w:pPr>
      <w:r>
        <w:rPr>
          <w:rFonts w:hint="eastAsia"/>
          <w:sz w:val="24"/>
        </w:rPr>
        <w:t>签署日期：202</w:t>
      </w:r>
      <w:r>
        <w:rPr>
          <w:rFonts w:hint="eastAsia"/>
          <w:sz w:val="24"/>
          <w:lang w:val="en-US" w:eastAsia="zh-CN"/>
        </w:rPr>
        <w:t>2</w:t>
      </w:r>
      <w:r>
        <w:rPr>
          <w:rFonts w:hint="eastAsia"/>
          <w:sz w:val="24"/>
        </w:rPr>
        <w:t>年  月  日            签署日期：202</w:t>
      </w:r>
      <w:r>
        <w:rPr>
          <w:rFonts w:hint="eastAsia"/>
          <w:sz w:val="24"/>
          <w:lang w:val="en-US" w:eastAsia="zh-CN"/>
        </w:rPr>
        <w:t>2</w:t>
      </w:r>
      <w:r>
        <w:rPr>
          <w:rFonts w:hint="eastAsia"/>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宋体-18030">
    <w:altName w:val="Arial Unicode MS"/>
    <w:panose1 w:val="00000000000000000000"/>
    <w:charset w:val="00"/>
    <w:family w:val="modern"/>
    <w:pitch w:val="default"/>
    <w:sig w:usb0="00000000" w:usb1="00000000" w:usb2="000A005E"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71B51"/>
    <w:multiLevelType w:val="multilevel"/>
    <w:tmpl w:val="2FB71B51"/>
    <w:lvl w:ilvl="0" w:tentative="0">
      <w:start w:val="1"/>
      <w:numFmt w:val="japaneseCounting"/>
      <w:suff w:val="nothing"/>
      <w:lvlText w:val="%1、"/>
      <w:lvlJc w:val="left"/>
      <w:pPr>
        <w:tabs>
          <w:tab w:val="left" w:pos="0"/>
        </w:tabs>
        <w:ind w:left="0" w:firstLine="0"/>
      </w:pPr>
      <w:rPr>
        <w:rFonts w:hint="eastAsia"/>
      </w:rPr>
    </w:lvl>
    <w:lvl w:ilvl="1" w:tentative="0">
      <w:start w:val="1"/>
      <w:numFmt w:val="lowerLetter"/>
      <w:lvlText w:val="%2)"/>
      <w:lvlJc w:val="left"/>
      <w:pPr>
        <w:ind w:left="963" w:hanging="420"/>
      </w:pPr>
      <w:rPr>
        <w:rFonts w:hint="eastAsia"/>
      </w:rPr>
    </w:lvl>
    <w:lvl w:ilvl="2" w:tentative="0">
      <w:start w:val="1"/>
      <w:numFmt w:val="lowerRoman"/>
      <w:lvlText w:val="%3."/>
      <w:lvlJc w:val="right"/>
      <w:pPr>
        <w:ind w:left="1383" w:hanging="420"/>
      </w:pPr>
      <w:rPr>
        <w:rFonts w:hint="eastAsia"/>
      </w:rPr>
    </w:lvl>
    <w:lvl w:ilvl="3" w:tentative="0">
      <w:start w:val="1"/>
      <w:numFmt w:val="decimal"/>
      <w:lvlText w:val="%4."/>
      <w:lvlJc w:val="left"/>
      <w:pPr>
        <w:ind w:left="1803" w:hanging="420"/>
      </w:pPr>
      <w:rPr>
        <w:rFonts w:hint="eastAsia"/>
      </w:rPr>
    </w:lvl>
    <w:lvl w:ilvl="4" w:tentative="0">
      <w:start w:val="1"/>
      <w:numFmt w:val="lowerLetter"/>
      <w:lvlText w:val="%5)"/>
      <w:lvlJc w:val="left"/>
      <w:pPr>
        <w:ind w:left="2223" w:hanging="420"/>
      </w:pPr>
      <w:rPr>
        <w:rFonts w:hint="eastAsia"/>
      </w:rPr>
    </w:lvl>
    <w:lvl w:ilvl="5" w:tentative="0">
      <w:start w:val="1"/>
      <w:numFmt w:val="lowerRoman"/>
      <w:lvlText w:val="%6."/>
      <w:lvlJc w:val="right"/>
      <w:pPr>
        <w:ind w:left="2643" w:hanging="420"/>
      </w:pPr>
      <w:rPr>
        <w:rFonts w:hint="eastAsia"/>
      </w:rPr>
    </w:lvl>
    <w:lvl w:ilvl="6" w:tentative="0">
      <w:start w:val="1"/>
      <w:numFmt w:val="decimal"/>
      <w:lvlText w:val="%7."/>
      <w:lvlJc w:val="left"/>
      <w:pPr>
        <w:ind w:left="3063" w:hanging="420"/>
      </w:pPr>
      <w:rPr>
        <w:rFonts w:hint="eastAsia"/>
      </w:rPr>
    </w:lvl>
    <w:lvl w:ilvl="7" w:tentative="0">
      <w:start w:val="1"/>
      <w:numFmt w:val="lowerLetter"/>
      <w:lvlText w:val="%8)"/>
      <w:lvlJc w:val="left"/>
      <w:pPr>
        <w:ind w:left="3483" w:hanging="420"/>
      </w:pPr>
      <w:rPr>
        <w:rFonts w:hint="eastAsia"/>
      </w:rPr>
    </w:lvl>
    <w:lvl w:ilvl="8" w:tentative="0">
      <w:start w:val="1"/>
      <w:numFmt w:val="lowerRoman"/>
      <w:lvlText w:val="%9."/>
      <w:lvlJc w:val="right"/>
      <w:pPr>
        <w:ind w:left="3903"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F3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3">
    <w:name w:val="Block Text"/>
    <w:basedOn w:val="1"/>
    <w:qFormat/>
    <w:uiPriority w:val="0"/>
    <w:pPr>
      <w:spacing w:line="520" w:lineRule="atLeast"/>
      <w:ind w:left="-357" w:right="-301" w:firstLine="600"/>
    </w:pPr>
    <w:rPr>
      <w:sz w:val="30"/>
      <w:szCs w:val="20"/>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7">
    <w:name w:val="List Paragraph"/>
    <w:basedOn w:val="1"/>
    <w:qFormat/>
    <w:uiPriority w:val="34"/>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2022-06-02T03:22:10Z</dcterms:created>
  <dc:creator>liuyue</dc:creator>
  <cp:lastModifiedBy>liuyue</cp:lastModifiedBy>
  <dcterms:modified xsi:type="dcterms:W3CDTF">2022-06-02T03:22:27Z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