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深圳市经济、政府性基金预算和债务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情况说明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</w:p>
    <w:p>
      <w:pPr>
        <w:spacing w:line="60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深圳市经济、财政和债务数据明细表</w:t>
      </w:r>
    </w:p>
    <w:p>
      <w:pPr>
        <w:spacing w:line="800" w:lineRule="exact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图表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-</w:t>
      </w:r>
      <w:r>
        <w:rPr>
          <w:rFonts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</w:rPr>
        <w:t>：深圳市经济、财政和债务有关数据</w:t>
      </w:r>
    </w:p>
    <w:tbl>
      <w:tblPr>
        <w:tblStyle w:val="2"/>
        <w:tblW w:w="88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846"/>
        <w:gridCol w:w="899"/>
        <w:gridCol w:w="926"/>
        <w:gridCol w:w="992"/>
        <w:gridCol w:w="899"/>
        <w:gridCol w:w="8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地方经济状况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Cs w:val="21"/>
              </w:rPr>
              <w:t>一、</w:t>
            </w:r>
            <w:r>
              <w:rPr>
                <w:b/>
                <w:bCs/>
                <w:kern w:val="0"/>
                <w:szCs w:val="21"/>
              </w:rPr>
              <w:t>201</w:t>
            </w:r>
            <w:r>
              <w:rPr>
                <w:rFonts w:hint="eastAsia"/>
                <w:b/>
                <w:bCs/>
                <w:kern w:val="0"/>
                <w:szCs w:val="21"/>
              </w:rPr>
              <w:t>8</w:t>
            </w:r>
            <w:r>
              <w:rPr>
                <w:b/>
                <w:bCs/>
                <w:kern w:val="0"/>
                <w:szCs w:val="21"/>
              </w:rPr>
              <w:t>-20</w:t>
            </w:r>
            <w:r>
              <w:rPr>
                <w:rFonts w:hint="eastAsia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楷体_GB2312" w:eastAsia="楷体_GB2312"/>
                <w:b/>
                <w:bCs/>
                <w:kern w:val="0"/>
                <w:szCs w:val="21"/>
              </w:rPr>
              <w:t>年经济基本状况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年份</w:t>
            </w:r>
            <w:r>
              <w:rPr>
                <w:rFonts w:eastAsia="楷体_GB2312"/>
                <w:kern w:val="0"/>
                <w:szCs w:val="21"/>
              </w:rPr>
              <w:t>/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项目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2018年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地区生产总值（亿元）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24221.98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26927.09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27670.24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地区生产总值增速（</w:t>
            </w:r>
            <w:r>
              <w:rPr>
                <w:rFonts w:eastAsia="楷体_GB2312"/>
                <w:kern w:val="0"/>
                <w:szCs w:val="21"/>
              </w:rPr>
              <w:t>%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7.6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6.7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3.1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第一产业（亿元）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22.09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25.2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25.79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第二产业（亿元）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9961.95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10495.84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10454.01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第三产业（亿元）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14237.94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16406.06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17190.44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产业结构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第一产业（</w:t>
            </w:r>
            <w:r>
              <w:rPr>
                <w:rFonts w:eastAsia="楷体_GB2312"/>
                <w:kern w:val="0"/>
                <w:szCs w:val="21"/>
              </w:rPr>
              <w:t>%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0.09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0.1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第二产业（</w:t>
            </w:r>
            <w:r>
              <w:rPr>
                <w:rFonts w:eastAsia="楷体_GB2312"/>
                <w:kern w:val="0"/>
                <w:szCs w:val="21"/>
              </w:rPr>
              <w:t>%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41.13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39.0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37.8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第三产业（</w:t>
            </w:r>
            <w:r>
              <w:rPr>
                <w:rFonts w:eastAsia="楷体_GB2312"/>
                <w:kern w:val="0"/>
                <w:szCs w:val="21"/>
              </w:rPr>
              <w:t>%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58.78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60.9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62.1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全社会固定资产投资（亿元）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6191.01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进出口总额（亿元）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29983.74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29773.86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30502.5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出口额（亿元）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16274.69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16708.95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16972.7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进口额（亿元）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13709.05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13064.92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13529.9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社会消费品零售总额（亿元）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6168.87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6582.85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8664.83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城镇（常住）居民人均可支配收入（元）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57543.6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62522.4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64878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居民消费价格指数（上年＝</w:t>
            </w:r>
            <w:r>
              <w:rPr>
                <w:rFonts w:eastAsia="楷体_GB2312"/>
                <w:kern w:val="0"/>
                <w:szCs w:val="21"/>
              </w:rPr>
              <w:t>100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102.8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103.4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102.3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工业生产者出厂价格指数（上年＝</w:t>
            </w:r>
            <w:r>
              <w:rPr>
                <w:rFonts w:eastAsia="楷体_GB2312"/>
                <w:kern w:val="0"/>
                <w:szCs w:val="21"/>
              </w:rPr>
              <w:t>100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100.2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工业生产者购进价格指数（上年＝</w:t>
            </w:r>
            <w:r>
              <w:rPr>
                <w:rFonts w:eastAsia="楷体_GB2312"/>
                <w:kern w:val="0"/>
                <w:szCs w:val="21"/>
              </w:rPr>
              <w:t>100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102.4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</w:rPr>
              <w:t>99.4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98.8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金融机构各项存款余额（本外币）（亿元）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72550.36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83942.45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101897.31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金融机构各项贷款余额（本外币）（亿元）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52539.79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59461.39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68020.54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二、</w:t>
            </w:r>
            <w:r>
              <w:rPr>
                <w:rFonts w:eastAsia="楷体_GB2312"/>
                <w:b/>
                <w:bCs/>
                <w:kern w:val="0"/>
                <w:szCs w:val="21"/>
              </w:rPr>
              <w:t>201</w:t>
            </w:r>
            <w:r>
              <w:rPr>
                <w:rFonts w:hint="eastAsia" w:eastAsia="楷体_GB2312"/>
                <w:b/>
                <w:bCs/>
                <w:kern w:val="0"/>
                <w:szCs w:val="21"/>
              </w:rPr>
              <w:t>8</w:t>
            </w:r>
            <w:r>
              <w:rPr>
                <w:rFonts w:eastAsia="楷体_GB2312"/>
                <w:b/>
                <w:bCs/>
                <w:kern w:val="0"/>
                <w:szCs w:val="21"/>
              </w:rPr>
              <w:t>-20</w:t>
            </w:r>
            <w:r>
              <w:rPr>
                <w:rFonts w:hint="eastAsia" w:eastAsia="楷体_GB2312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年财政收支状况（亿元）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18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（一）近三年一般公共预算收支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年份</w:t>
            </w:r>
            <w:r>
              <w:rPr>
                <w:rFonts w:eastAsia="楷体_GB2312"/>
                <w:b/>
                <w:bCs/>
                <w:kern w:val="0"/>
                <w:szCs w:val="21"/>
              </w:rPr>
              <w:t>/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2018年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2019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20</w:t>
            </w:r>
            <w:r>
              <w:rPr>
                <w:rFonts w:hint="eastAsia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市本级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全市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市本级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全市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市本级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全市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一般公共预算收入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2190.1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3538.4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2364.15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3773.38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2357.67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3857.46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一般公共预算支出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2115.5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4282.</w:t>
            </w: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2118.50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4552.73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1957.86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4178.42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地方政府一般债券收入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10.75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地方政府一般债券还本支出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30.3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kern w:val="0"/>
                <w:sz w:val="20"/>
                <w:szCs w:val="20"/>
                <w:highlight w:val="none"/>
              </w:rPr>
              <w:t>30.3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转移性收入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1035.9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1714.48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1174.45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1801.46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888.49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1513.74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转移性支出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1105.51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960.36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1400.8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1002.8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1292.29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/>
                <w:kern w:val="0"/>
                <w:sz w:val="20"/>
                <w:szCs w:val="20"/>
                <w:highlight w:val="none"/>
              </w:rPr>
              <w:t>1193.78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18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（二）近三年政府性基金预算收支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政府性基金收入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962.5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964.6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993.67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1005.72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1262.69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1287.24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政府性基金支出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213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637.4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350.56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970.94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352.22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1224.55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地方政府专项债券收入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39.4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39.4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52.5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303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114.1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地方政府专项债券还本支出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18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（三）近三年国有资本经营预算收支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国有资本经营收入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40.8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46.6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61.22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68.65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78.37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国有资本经营支出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36.4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38.3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38.14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18"/>
                <w:szCs w:val="21"/>
              </w:rPr>
            </w:pPr>
            <w:r>
              <w:rPr>
                <w:kern w:val="0"/>
                <w:szCs w:val="21"/>
              </w:rPr>
              <w:t>41.12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54.6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58.3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三、地方政府债务状况（亿元）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2018</w:t>
            </w:r>
            <w:r>
              <w:rPr>
                <w:rFonts w:hint="eastAsia" w:ascii="楷体_GB2312" w:eastAsia="楷体_GB2312"/>
                <w:kern w:val="0"/>
                <w:szCs w:val="21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底</w:t>
            </w:r>
            <w:r>
              <w:rPr>
                <w:rFonts w:hint="eastAsia" w:ascii="楷体_GB2312" w:eastAsia="楷体_GB2312"/>
                <w:kern w:val="0"/>
                <w:szCs w:val="21"/>
              </w:rPr>
              <w:t>地方政府债务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余额</w:t>
            </w:r>
          </w:p>
        </w:tc>
        <w:tc>
          <w:tcPr>
            <w:tcW w:w="5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145.9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2019</w:t>
            </w:r>
            <w:r>
              <w:rPr>
                <w:rFonts w:hint="eastAsia" w:ascii="楷体_GB2312" w:eastAsia="楷体_GB2312"/>
                <w:kern w:val="0"/>
                <w:szCs w:val="21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底</w:t>
            </w:r>
            <w:r>
              <w:rPr>
                <w:rFonts w:hint="eastAsia" w:ascii="楷体_GB2312" w:eastAsia="楷体_GB2312"/>
                <w:kern w:val="0"/>
                <w:szCs w:val="21"/>
              </w:rPr>
              <w:t>地方政府债务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余额</w:t>
            </w:r>
          </w:p>
        </w:tc>
        <w:tc>
          <w:tcPr>
            <w:tcW w:w="5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20</w:t>
            </w:r>
            <w:r>
              <w:rPr>
                <w:rFonts w:hint="eastAsia" w:eastAsia="楷体_GB2312"/>
                <w:kern w:val="0"/>
                <w:szCs w:val="21"/>
              </w:rPr>
              <w:t>20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年底地方政府债务余额</w:t>
            </w:r>
          </w:p>
        </w:tc>
        <w:tc>
          <w:tcPr>
            <w:tcW w:w="54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881.2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注：1.经济基本状况按统计年鉴口径，其中2020年度数据为截至2020年12月统计快报数。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 w:val="18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2.自2019年起，我市财政预算收支情况包含深汕特别合作区数据。</w:t>
            </w:r>
          </w:p>
        </w:tc>
      </w:tr>
    </w:tbl>
    <w:p>
      <w:pPr>
        <w:spacing w:line="360" w:lineRule="auto"/>
        <w:jc w:val="center"/>
        <w:rPr>
          <w:rFonts w:eastAsia="楷体_GB2312"/>
          <w:szCs w:val="21"/>
        </w:rPr>
      </w:pPr>
      <w:r>
        <w:rPr>
          <w:rFonts w:hint="eastAsia" w:ascii="仿宋_GB2312" w:eastAsia="仿宋_GB2312"/>
          <w:sz w:val="28"/>
        </w:rPr>
        <w:t>图表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-2：</w:t>
      </w:r>
      <w:r>
        <w:rPr>
          <w:rFonts w:hint="eastAsia" w:ascii="仿宋_GB2312" w:hAnsi="微软雅黑" w:eastAsia="仿宋_GB2312" w:cs="宋体"/>
          <w:bCs/>
          <w:kern w:val="0"/>
          <w:sz w:val="28"/>
          <w:szCs w:val="30"/>
        </w:rPr>
        <w:t>深圳市2020年政府性基金预算收支情况表</w:t>
      </w:r>
    </w:p>
    <w:p>
      <w:pPr>
        <w:pStyle w:val="4"/>
        <w:ind w:left="420" w:firstLine="7020" w:firstLineChars="3900"/>
        <w:rPr>
          <w:rFonts w:hint="eastAsia" w:ascii="仿宋_GB2312" w:hAnsi="宋体" w:eastAsia="仿宋_GB2312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18"/>
          <w:szCs w:val="18"/>
        </w:rPr>
        <w:t>单位：亿元</w:t>
      </w:r>
    </w:p>
    <w:tbl>
      <w:tblPr>
        <w:tblStyle w:val="2"/>
        <w:tblW w:w="8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033"/>
        <w:gridCol w:w="221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11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4338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112" w:type="dxa"/>
            <w:gridSpan w:val="2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212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全市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收入</w:t>
            </w:r>
          </w:p>
        </w:tc>
        <w:tc>
          <w:tcPr>
            <w:tcW w:w="3033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政府性基金收入</w:t>
            </w:r>
          </w:p>
        </w:tc>
        <w:tc>
          <w:tcPr>
            <w:tcW w:w="221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1287.24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1262.69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7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33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地方政府专项债券收入</w:t>
            </w:r>
          </w:p>
        </w:tc>
        <w:tc>
          <w:tcPr>
            <w:tcW w:w="221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460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支出</w:t>
            </w:r>
          </w:p>
        </w:tc>
        <w:tc>
          <w:tcPr>
            <w:tcW w:w="3033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政府性基金支出</w:t>
            </w:r>
          </w:p>
        </w:tc>
        <w:tc>
          <w:tcPr>
            <w:tcW w:w="2212" w:type="dxa"/>
          </w:tcPr>
          <w:p>
            <w:pPr>
              <w:widowControl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1224.55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352.22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7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033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地方政府专项债券还本支出</w:t>
            </w:r>
          </w:p>
        </w:tc>
        <w:tc>
          <w:tcPr>
            <w:tcW w:w="2212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10.06</w:t>
            </w:r>
          </w:p>
        </w:tc>
        <w:tc>
          <w:tcPr>
            <w:tcW w:w="2126" w:type="dxa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1.6</w:t>
            </w:r>
          </w:p>
        </w:tc>
      </w:tr>
    </w:tbl>
    <w:p>
      <w:pPr>
        <w:spacing w:line="600" w:lineRule="exact"/>
        <w:ind w:firstLine="640" w:firstLineChars="200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深圳市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收支情况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2018年，全市政府性基金预算收入完成964.6亿元，下降6.3%,其中国有土地使用权出让收入完成898.2亿元，下降6.5%。2018年，全市政府性基金预算支出完成637.4亿元，增长18.7%。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2019年，全市政府性基金预算收入完成1,005.7亿元，增长2.9%，其中国有土地使用权出让收入完成922.4亿元，增长1.2%。2019年，全市政府性基金预算支出完成970.9亿元，增长51%。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2020</w:t>
      </w:r>
      <w:r>
        <w:rPr>
          <w:rFonts w:hint="eastAsia" w:ascii="仿宋_GB2312" w:eastAsia="仿宋_GB2312" w:cs="仿宋_GB2312"/>
          <w:sz w:val="32"/>
          <w:szCs w:val="32"/>
        </w:rPr>
        <w:t>年，全市政府性基金预算收入完成</w:t>
      </w:r>
      <w:r>
        <w:rPr>
          <w:rFonts w:ascii="仿宋_GB2312" w:eastAsia="仿宋_GB2312" w:cs="仿宋_GB2312"/>
          <w:sz w:val="32"/>
          <w:szCs w:val="32"/>
        </w:rPr>
        <w:t>1287.2</w:t>
      </w:r>
      <w:r>
        <w:rPr>
          <w:rFonts w:hint="eastAsia" w:ascii="仿宋_GB2312" w:eastAsia="仿宋_GB2312" w:cs="仿宋_GB2312"/>
          <w:sz w:val="32"/>
          <w:szCs w:val="32"/>
        </w:rPr>
        <w:t>亿元，增长</w:t>
      </w:r>
      <w:r>
        <w:rPr>
          <w:rFonts w:ascii="仿宋_GB2312" w:eastAsia="仿宋_GB2312" w:cs="仿宋_GB2312"/>
          <w:sz w:val="32"/>
          <w:szCs w:val="32"/>
        </w:rPr>
        <w:t>28%</w:t>
      </w:r>
      <w:r>
        <w:rPr>
          <w:rFonts w:hint="eastAsia" w:ascii="仿宋_GB2312" w:eastAsia="仿宋_GB2312" w:cs="仿宋_GB2312"/>
          <w:sz w:val="32"/>
          <w:szCs w:val="32"/>
        </w:rPr>
        <w:t>，其中国有土地使用权出让收入完成</w:t>
      </w:r>
      <w:r>
        <w:rPr>
          <w:rFonts w:ascii="仿宋_GB2312" w:eastAsia="仿宋_GB2312" w:cs="仿宋_GB2312"/>
          <w:sz w:val="32"/>
          <w:szCs w:val="32"/>
        </w:rPr>
        <w:t>1207.7</w:t>
      </w:r>
      <w:r>
        <w:rPr>
          <w:rFonts w:hint="eastAsia" w:ascii="仿宋_GB2312" w:eastAsia="仿宋_GB2312" w:cs="仿宋_GB2312"/>
          <w:sz w:val="32"/>
          <w:szCs w:val="32"/>
        </w:rPr>
        <w:t>亿元，增长</w:t>
      </w:r>
      <w:r>
        <w:rPr>
          <w:rFonts w:ascii="仿宋_GB2312" w:eastAsia="仿宋_GB2312" w:cs="仿宋_GB2312"/>
          <w:sz w:val="32"/>
          <w:szCs w:val="32"/>
        </w:rPr>
        <w:t>30.9%</w:t>
      </w:r>
      <w:r>
        <w:rPr>
          <w:rFonts w:hint="eastAsia" w:ascii="仿宋_GB2312" w:eastAsia="仿宋_GB2312" w:cs="仿宋_GB2312"/>
          <w:sz w:val="32"/>
          <w:szCs w:val="32"/>
        </w:rPr>
        <w:t>。2020年，</w:t>
      </w:r>
      <w:r>
        <w:rPr>
          <w:rFonts w:hint="eastAsia" w:ascii="仿宋_GB2312" w:hAnsi="仿宋" w:eastAsia="仿宋_GB2312"/>
          <w:sz w:val="32"/>
          <w:szCs w:val="32"/>
        </w:rPr>
        <w:t>全市政府性基金预算支出完成</w:t>
      </w:r>
      <w:r>
        <w:rPr>
          <w:rFonts w:ascii="仿宋_GB2312" w:eastAsia="仿宋_GB2312" w:cs="仿宋_GB2312"/>
          <w:sz w:val="32"/>
          <w:szCs w:val="32"/>
        </w:rPr>
        <w:t>1224.</w:t>
      </w:r>
      <w:r>
        <w:rPr>
          <w:rFonts w:hint="eastAsia" w:ascii="仿宋_GB2312" w:eastAsia="仿宋_GB2312" w:cs="仿宋_GB2312"/>
          <w:sz w:val="32"/>
          <w:szCs w:val="32"/>
        </w:rPr>
        <w:t>5亿元，增长</w:t>
      </w:r>
      <w:r>
        <w:rPr>
          <w:rFonts w:ascii="仿宋_GB2312" w:eastAsia="仿宋_GB2312" w:cs="仿宋_GB2312"/>
          <w:sz w:val="32"/>
          <w:szCs w:val="32"/>
        </w:rPr>
        <w:t>26.1%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sz w:val="32"/>
          <w:szCs w:val="32"/>
        </w:rPr>
        <w:t>、深圳市地方政府债务管理情况</w:t>
      </w:r>
    </w:p>
    <w:p>
      <w:pPr>
        <w:spacing w:line="600" w:lineRule="exact"/>
        <w:ind w:firstLine="640" w:firstLineChars="200"/>
        <w:textAlignment w:val="center"/>
        <w:rPr>
          <w:rFonts w:ascii="楷体_GB2312" w:hAnsi="楷体" w:eastAsia="楷体_GB2312" w:cs="楷体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 w:cs="楷体"/>
          <w:b w:val="0"/>
          <w:bCs w:val="0"/>
          <w:sz w:val="32"/>
          <w:szCs w:val="32"/>
        </w:rPr>
        <w:t>（一）政府债务余额情况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截至2018年底，全市政府债务余额145.9亿元，其中市本级政府债务余额93.9亿元。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截至2019年底，全市政府债务余额430.3亿元，其中市本级政府债务余额125.6亿元。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截至2020年底，全市政府债务余额881.2亿元，其中，市本级政府债务余额230.4亿元。</w:t>
      </w:r>
    </w:p>
    <w:p>
      <w:pPr>
        <w:spacing w:line="600" w:lineRule="exact"/>
        <w:ind w:firstLine="640" w:firstLineChars="200"/>
        <w:rPr>
          <w:rFonts w:ascii="楷体_GB2312" w:hAnsi="楷体" w:eastAsia="楷体_GB2312" w:cs="楷体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 w:cs="楷体"/>
          <w:b w:val="0"/>
          <w:bCs w:val="0"/>
          <w:sz w:val="32"/>
          <w:szCs w:val="32"/>
        </w:rPr>
        <w:t>（二）政府债务限额情况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2018年底政府债务限额384.5亿元，按类型划分，一般债务313.6亿元，专项债务70.9亿元。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019</w:t>
      </w:r>
      <w:r>
        <w:rPr>
          <w:rFonts w:hint="eastAsia" w:ascii="仿宋_GB2312" w:hAnsi="仿宋" w:eastAsia="仿宋_GB2312"/>
          <w:sz w:val="32"/>
          <w:szCs w:val="32"/>
        </w:rPr>
        <w:t>年底政府债务限额</w:t>
      </w:r>
      <w:r>
        <w:rPr>
          <w:rFonts w:ascii="仿宋_GB2312" w:hAnsi="仿宋" w:eastAsia="仿宋_GB2312"/>
          <w:sz w:val="32"/>
          <w:szCs w:val="32"/>
        </w:rPr>
        <w:t>698.5</w:t>
      </w:r>
      <w:r>
        <w:rPr>
          <w:rFonts w:hint="eastAsia" w:ascii="仿宋_GB2312" w:hAnsi="仿宋" w:eastAsia="仿宋_GB2312"/>
          <w:sz w:val="32"/>
          <w:szCs w:val="32"/>
        </w:rPr>
        <w:t>亿元，按类型划分，一般债务324.6亿元，专项债务373.9亿元。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2020年底政府债务限额1179.5亿元，按类型划分，一般债务345.6亿元，专项债务833.9亿元。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193"/>
        <w:gridCol w:w="4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微软雅黑" w:eastAsia="仿宋_GB2312" w:cs="宋体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</w:rPr>
              <w:t>图表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</w:rPr>
              <w:t>-</w:t>
            </w:r>
            <w:r>
              <w:rPr>
                <w:rFonts w:ascii="仿宋_GB2312" w:eastAsia="仿宋_GB2312"/>
                <w:sz w:val="28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：</w:t>
            </w:r>
            <w:r>
              <w:rPr>
                <w:rFonts w:hint="eastAsia" w:ascii="仿宋_GB2312" w:hAnsi="微软雅黑" w:eastAsia="仿宋_GB2312" w:cs="宋体"/>
                <w:bCs/>
                <w:kern w:val="0"/>
                <w:sz w:val="28"/>
                <w:szCs w:val="30"/>
              </w:rPr>
              <w:t>深圳市</w:t>
            </w:r>
            <w:r>
              <w:rPr>
                <w:rFonts w:ascii="仿宋_GB2312" w:hAnsi="微软雅黑" w:eastAsia="仿宋_GB2312" w:cs="宋体"/>
                <w:bCs/>
                <w:kern w:val="0"/>
                <w:sz w:val="28"/>
                <w:szCs w:val="30"/>
              </w:rPr>
              <w:t>20</w:t>
            </w:r>
            <w:r>
              <w:rPr>
                <w:rFonts w:hint="eastAsia" w:ascii="仿宋_GB2312" w:hAnsi="微软雅黑" w:eastAsia="仿宋_GB2312" w:cs="宋体"/>
                <w:bCs/>
                <w:kern w:val="0"/>
                <w:sz w:val="28"/>
                <w:szCs w:val="30"/>
              </w:rPr>
              <w:t>20</w:t>
            </w:r>
            <w:r>
              <w:rPr>
                <w:rFonts w:ascii="仿宋_GB2312" w:hAnsi="微软雅黑" w:eastAsia="仿宋_GB2312" w:cs="宋体"/>
                <w:bCs/>
                <w:kern w:val="0"/>
                <w:sz w:val="28"/>
                <w:szCs w:val="30"/>
              </w:rPr>
              <w:t>年</w:t>
            </w:r>
            <w:r>
              <w:rPr>
                <w:rFonts w:hint="eastAsia" w:ascii="仿宋_GB2312" w:hAnsi="微软雅黑" w:eastAsia="仿宋_GB2312" w:cs="宋体"/>
                <w:bCs/>
                <w:kern w:val="0"/>
                <w:sz w:val="28"/>
                <w:szCs w:val="30"/>
              </w:rPr>
              <w:t>专项</w:t>
            </w:r>
            <w:r>
              <w:rPr>
                <w:rFonts w:ascii="仿宋_GB2312" w:hAnsi="微软雅黑" w:eastAsia="仿宋_GB2312" w:cs="宋体"/>
                <w:bCs/>
                <w:kern w:val="0"/>
                <w:sz w:val="28"/>
                <w:szCs w:val="30"/>
              </w:rPr>
              <w:t xml:space="preserve">债务情况表          </w:t>
            </w:r>
          </w:p>
          <w:p>
            <w:pPr>
              <w:widowControl/>
              <w:jc w:val="right"/>
              <w:textAlignment w:val="center"/>
              <w:rPr>
                <w:rFonts w:ascii="仿宋_GB2312" w:hAnsi="微软雅黑" w:eastAsia="仿宋_GB2312" w:cs="宋体"/>
                <w:bCs/>
                <w:kern w:val="0"/>
                <w:sz w:val="28"/>
                <w:szCs w:val="30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单位：亿元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0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项目</w:t>
            </w:r>
          </w:p>
        </w:tc>
        <w:tc>
          <w:tcPr>
            <w:tcW w:w="448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0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专项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债务限额</w:t>
            </w:r>
          </w:p>
        </w:tc>
        <w:tc>
          <w:tcPr>
            <w:tcW w:w="4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833.90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0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专项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债务余额</w:t>
            </w:r>
          </w:p>
        </w:tc>
        <w:tc>
          <w:tcPr>
            <w:tcW w:w="4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812.34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地区分布</w:t>
            </w:r>
          </w:p>
        </w:tc>
        <w:tc>
          <w:tcPr>
            <w:tcW w:w="219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级</w:t>
            </w:r>
          </w:p>
        </w:tc>
        <w:tc>
          <w:tcPr>
            <w:tcW w:w="4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区级</w:t>
            </w:r>
          </w:p>
        </w:tc>
        <w:tc>
          <w:tcPr>
            <w:tcW w:w="4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617.54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期限结构</w:t>
            </w:r>
          </w:p>
        </w:tc>
        <w:tc>
          <w:tcPr>
            <w:tcW w:w="21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1-3(含)年</w:t>
            </w:r>
          </w:p>
        </w:tc>
        <w:tc>
          <w:tcPr>
            <w:tcW w:w="4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3-5(含)年</w:t>
            </w:r>
          </w:p>
        </w:tc>
        <w:tc>
          <w:tcPr>
            <w:tcW w:w="4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5-10(含)年</w:t>
            </w:r>
          </w:p>
        </w:tc>
        <w:tc>
          <w:tcPr>
            <w:tcW w:w="4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520.80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10年以后</w:t>
            </w:r>
          </w:p>
        </w:tc>
        <w:tc>
          <w:tcPr>
            <w:tcW w:w="44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190.94</w:t>
            </w:r>
          </w:p>
        </w:tc>
      </w:tr>
    </w:tbl>
    <w:p>
      <w:pPr>
        <w:spacing w:line="600" w:lineRule="exact"/>
        <w:ind w:firstLine="640" w:firstLineChars="200"/>
        <w:textAlignment w:val="center"/>
        <w:rPr>
          <w:rFonts w:ascii="楷体_GB2312" w:hAnsi="楷体" w:eastAsia="楷体_GB2312" w:cs="楷体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 w:cs="楷体"/>
          <w:b w:val="0"/>
          <w:bCs w:val="0"/>
          <w:sz w:val="32"/>
          <w:szCs w:val="32"/>
        </w:rPr>
        <w:t>（三）加强债务管</w:t>
      </w:r>
      <w:bookmarkStart w:id="0" w:name="_GoBack"/>
      <w:bookmarkEnd w:id="0"/>
      <w:r>
        <w:rPr>
          <w:rFonts w:hint="eastAsia" w:ascii="楷体_GB2312" w:hAnsi="楷体" w:eastAsia="楷体_GB2312" w:cs="楷体"/>
          <w:b w:val="0"/>
          <w:bCs w:val="0"/>
          <w:sz w:val="32"/>
          <w:szCs w:val="32"/>
        </w:rPr>
        <w:t>理，防范债务风险的政策措施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深圳市大力推进政府债务管理改革，优化债务结构，强化债务管理，降低债务成本，严控债务风险，在全力服务保障深圳市经济社会发展的同时，牢牢守住不发生系统性金融风险的底线。具体如下：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一是</w:t>
      </w:r>
      <w:r>
        <w:rPr>
          <w:rFonts w:hint="eastAsia" w:ascii="仿宋_GB2312" w:hAnsi="仿宋" w:eastAsia="仿宋_GB2312"/>
          <w:sz w:val="32"/>
          <w:szCs w:val="32"/>
        </w:rPr>
        <w:t>强化政府债务管理组织领导。市委、市政府主要领导亲自研究部署政府债务管理工作，各级各部门积极推进狠抓落实，进一步提高全市政府债务管理水平。根据中央关于地方政府债务管理的有关要求，深圳市政府成立了市政府性债务管理领导小组，负责统筹、领导全市政府债务和隐性债务管理。建立了跨部门联合监测工作机制，全口径监测深圳市政府债务和隐性债务情况，进一步加强政府债务风险防控能力，强化政府债务风险应对能力，提高全市政府债务管理水平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二是</w:t>
      </w:r>
      <w:r>
        <w:rPr>
          <w:rFonts w:hint="eastAsia" w:ascii="仿宋_GB2312" w:hAnsi="仿宋" w:eastAsia="仿宋_GB2312"/>
          <w:sz w:val="32"/>
          <w:szCs w:val="32"/>
        </w:rPr>
        <w:t>健全政府债务管理制度框架体系。认真贯彻落实《中华人民共和国预算法》、《国务院关于加强地方政府性债务管理的意见》（国发〔2014〕43号），制订了《深圳市地方政府性债务风险应急处置预案》（深财预〔2017〕10号），对债务风险事件建立分组响应机制，实施分类应急处置，进一步健全政府债务风险管理机制。持续完善政府债务管理体系，债券资金的发行和偿还已明确纳入预算管理，同时持续推进债务风险预警方案的制定工作。</w:t>
      </w:r>
    </w:p>
    <w:p>
      <w:pPr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三是</w:t>
      </w:r>
      <w:r>
        <w:rPr>
          <w:rFonts w:hint="eastAsia" w:ascii="仿宋_GB2312" w:hAnsi="仿宋" w:eastAsia="仿宋_GB2312"/>
          <w:sz w:val="32"/>
          <w:szCs w:val="32"/>
        </w:rPr>
        <w:t>强化政府债务限额管理，控制债务规模。全面实行政府债务限额管理，对政府债务设置“天花板”，建立政府举债审批工作机制，严格限定政府举债程序和资金用途。同时，结合债务风险指标和新增债券安排，对全市政府债务进行及时调整，合理确定全市政府债务总限额及市区两级政府债务分限额，努力使市区两级政府债务总量和结构处于较为合理的水平。</w:t>
      </w:r>
    </w:p>
    <w:p>
      <w:pPr>
        <w:spacing w:line="600" w:lineRule="exact"/>
        <w:ind w:left="2" w:firstLine="707" w:firstLineChars="22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四是</w:t>
      </w:r>
      <w:r>
        <w:rPr>
          <w:rFonts w:hint="eastAsia" w:ascii="仿宋_GB2312" w:hAnsi="仿宋" w:eastAsia="仿宋_GB2312"/>
          <w:sz w:val="32"/>
          <w:szCs w:val="32"/>
        </w:rPr>
        <w:t>多措并举，防控政府债务风险。构建政府债务风险预警、应急处理等管理体系，测算评估政府债务风险指标，制定政府债务风险化解规划和债务处置计划，加快化解债务风险。做好政府债务统计和分析工作，动态掌握全市债务情况，政府债务管理工作持续深入，对债务风险及时监测，对超过或者接近风险的辖区给予预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912BE"/>
    <w:rsid w:val="1EBA49A0"/>
    <w:rsid w:val="2BC46827"/>
    <w:rsid w:val="49A3185A"/>
    <w:rsid w:val="5D071672"/>
    <w:rsid w:val="6BD6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2021-11-05T06:47:00Z</dcterms:created>
  <dc:creator>wutingting</dc:creator>
  <cp:lastModifiedBy>吴婷婷</cp:lastModifiedBy>
  <dcterms:modified xsi:type="dcterms:W3CDTF">2021-11-11T00:54:12Z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