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color w:val="000000"/>
          <w:sz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lang w:eastAsia="zh-CN"/>
        </w:rPr>
        <w:t>附件2</w:t>
      </w:r>
    </w:p>
    <w:p>
      <w:pPr>
        <w:pStyle w:val="2"/>
        <w:jc w:val="center"/>
        <w:rPr>
          <w:rFonts w:ascii="Times New Roman" w:hAnsi="Times New Roman" w:eastAsia="黑体" w:cs="Times New Roman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  <w:lang w:eastAsia="zh-CN"/>
        </w:rPr>
        <w:t>定点医疗机构考核指标</w:t>
      </w:r>
    </w:p>
    <w:tbl>
      <w:tblPr>
        <w:tblStyle w:val="6"/>
        <w:tblW w:w="13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561"/>
        <w:gridCol w:w="3695"/>
        <w:gridCol w:w="3558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bookmarkStart w:id="0" w:name="RANGE!A3:F11"/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考核内容</w:t>
            </w:r>
            <w:bookmarkEnd w:id="0"/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考核指标</w:t>
            </w:r>
            <w:r>
              <w:rPr>
                <w:rStyle w:val="9"/>
                <w:rFonts w:eastAsia="仿宋_GB2312"/>
                <w:b/>
                <w:bCs/>
                <w:color w:val="000000"/>
                <w:sz w:val="22"/>
                <w:szCs w:val="22"/>
              </w:rPr>
              <w:footnoteReference w:id="0"/>
            </w:r>
          </w:p>
        </w:tc>
        <w:tc>
          <w:tcPr>
            <w:tcW w:w="3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具体释义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赋分方式</w:t>
            </w:r>
            <w:r>
              <w:rPr>
                <w:rStyle w:val="9"/>
                <w:rFonts w:eastAsia="仿宋_GB2312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color w:val="000000"/>
                <w:sz w:val="22"/>
                <w:szCs w:val="22"/>
              </w:rPr>
              <w:t>权重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（一）执行药品集采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规定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按时完成药品集采中选产品约定采购量情况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见本办法第十三条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医疗机构30天回款率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30天回款金额/采购金额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按计算百分比结果赋分，如95%即为95分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（二）合理控制药品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费用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医疗机构</w:t>
            </w:r>
            <w:r>
              <w:rPr>
                <w:rFonts w:eastAsia="仿宋_GB2312"/>
                <w:bCs/>
                <w:color w:val="000000"/>
                <w:sz w:val="22"/>
                <w:szCs w:val="22"/>
              </w:rPr>
              <w:t>人次均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药品费用增长率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当年度</w:t>
            </w:r>
            <w:r>
              <w:rPr>
                <w:rFonts w:eastAsia="仿宋_GB2312"/>
                <w:bCs/>
                <w:color w:val="000000"/>
                <w:sz w:val="22"/>
                <w:szCs w:val="22"/>
              </w:rPr>
              <w:t>人次均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药品支出额/上年度</w:t>
            </w:r>
            <w:r>
              <w:rPr>
                <w:rFonts w:eastAsia="仿宋_GB2312"/>
                <w:bCs/>
                <w:color w:val="000000"/>
                <w:sz w:val="22"/>
                <w:szCs w:val="22"/>
              </w:rPr>
              <w:t>人次均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药品支出额-全市医疗机构人次均药品费用增长率（门诊/住院）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≤0%的，得100分；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＞0%，每增加1%扣5分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28" w:right="-178" w:rightChars="-85" w:hanging="57" w:hangingChars="26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10/10</w:t>
            </w:r>
            <w:r>
              <w:rPr>
                <w:rStyle w:val="9"/>
                <w:rFonts w:eastAsia="仿宋_GB2312"/>
                <w:color w:val="000000"/>
                <w:sz w:val="22"/>
                <w:szCs w:val="22"/>
              </w:rPr>
              <w:footnoteReference w:id="2"/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12"/>
                <w:szCs w:val="12"/>
              </w:rPr>
              <w:t>（门诊/住院）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非中选产品采购量占比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非中选产品采购量/该通用名药品总采购量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每存在一个药品该值≥50%的，扣10分；≥75%的，扣20分。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（三）落实集采、价格等改革政策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线下采购占比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（定点医疗机构实际药品采购总额-平台采购额）/定点医疗机构实际药品采购总额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＜5%的，得100分；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≥5%的，每增加1%扣10分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执行集采政策的违规次数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如实报量，按时签约，主动积极配合集采工作</w:t>
            </w:r>
          </w:p>
        </w:tc>
        <w:tc>
          <w:tcPr>
            <w:tcW w:w="35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.</w:t>
            </w:r>
            <w:r>
              <w:rPr>
                <w:rFonts w:eastAsia="仿宋_GB2312"/>
                <w:color w:val="000000"/>
                <w:sz w:val="22"/>
                <w:szCs w:val="22"/>
              </w:rPr>
              <w:t>未主动积极配合集采工作的，由市医疗保障行政部门确认，每次扣10分；</w:t>
            </w:r>
          </w:p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.</w:t>
            </w:r>
            <w:r>
              <w:rPr>
                <w:rFonts w:eastAsia="仿宋_GB2312"/>
                <w:color w:val="000000"/>
                <w:sz w:val="22"/>
                <w:szCs w:val="22"/>
              </w:rPr>
              <w:t>各相关主管部门例行检查、专项检查以及信访投诉举报等渠道确认违规的，每次扣20分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  <w:vertAlign w:val="superscript"/>
              </w:rPr>
              <w:t>★</w:t>
            </w:r>
            <w:r>
              <w:rPr>
                <w:rFonts w:eastAsia="仿宋_GB2312"/>
                <w:color w:val="000000"/>
                <w:sz w:val="22"/>
                <w:szCs w:val="22"/>
              </w:rPr>
              <w:t>药品价格违规次数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执行医保部门政策，按实际服务数量收费，公开透明</w:t>
            </w:r>
          </w:p>
        </w:tc>
        <w:tc>
          <w:tcPr>
            <w:tcW w:w="35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  <w:lang w:eastAsia="zh-CN"/>
        </w:rPr>
        <w:sectPr>
          <w:headerReference r:id="rId4" w:type="first"/>
          <w:footerReference r:id="rId5" w:type="default"/>
          <w:footerReference r:id="rId6" w:type="even"/>
          <w:type w:val="continuous"/>
          <w:pgSz w:w="16838" w:h="11906" w:orient="landscape"/>
          <w:pgMar w:top="1474" w:right="1985" w:bottom="1588" w:left="2098" w:header="851" w:footer="1588" w:gutter="0"/>
          <w:cols w:space="425" w:num="1"/>
          <w:titlePg/>
          <w:docGrid w:type="lines" w:linePitch="312" w:charSpace="0"/>
        </w:sectPr>
      </w:pPr>
    </w:p>
    <w:p>
      <w:r>
        <w:br w:type="page"/>
      </w:r>
      <w:bookmarkStart w:id="1" w:name="_GoBack"/>
      <w:bookmarkEnd w:id="1"/>
    </w:p>
    <w:sectPr>
      <w:footerReference r:id="rId7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rFonts w:ascii="Times New Roman" w:hAnsi="Times New Roman"/>
        </w:rPr>
      </w:pPr>
      <w:r>
        <w:rPr>
          <w:rStyle w:val="9"/>
          <w:rFonts w:ascii="Times New Roman" w:hAnsi="Times New Roman"/>
        </w:rPr>
        <w:footnoteRef/>
      </w:r>
      <w:r>
        <w:rPr>
          <w:rFonts w:ascii="Times New Roman" w:hAnsi="Times New Roman"/>
        </w:rPr>
        <w:t>标记</w:t>
      </w:r>
      <w:r>
        <w:rPr>
          <w:rFonts w:ascii="Segoe UI Symbol" w:hAnsi="Segoe UI Symbol" w:cs="Segoe UI Symbol"/>
        </w:rPr>
        <w:t>★</w:t>
      </w:r>
      <w:r>
        <w:rPr>
          <w:rFonts w:ascii="Times New Roman" w:hAnsi="Times New Roman"/>
        </w:rPr>
        <w:t>的，为本办</w:t>
      </w:r>
      <w:r>
        <w:rPr>
          <w:rFonts w:ascii="Times New Roman" w:hAnsi="Times New Roman"/>
          <w:color w:val="000000"/>
        </w:rPr>
        <w:t>法第十八条</w:t>
      </w:r>
      <w:r>
        <w:rPr>
          <w:rFonts w:ascii="Times New Roman" w:hAnsi="Times New Roman"/>
        </w:rPr>
        <w:t>所指以自然年度为计算范围的考核指标，按该条规定进行考核；</w:t>
      </w:r>
    </w:p>
  </w:footnote>
  <w:footnote w:id="1">
    <w:p>
      <w:pPr>
        <w:pStyle w:val="5"/>
        <w:rPr>
          <w:rFonts w:ascii="Times New Roman" w:hAnsi="Times New Roman"/>
        </w:rPr>
      </w:pPr>
      <w:r>
        <w:rPr>
          <w:rStyle w:val="9"/>
          <w:rFonts w:ascii="Times New Roman" w:hAnsi="Times New Roman"/>
        </w:rPr>
        <w:footnoteRef/>
      </w:r>
      <w:r>
        <w:rPr>
          <w:rFonts w:ascii="Times New Roman" w:hAnsi="Times New Roman"/>
        </w:rPr>
        <w:t>均按比例折算，并保留两位小数；该项分值扣完为止；</w:t>
      </w:r>
    </w:p>
  </w:footnote>
  <w:footnote w:id="2">
    <w:p>
      <w:pPr>
        <w:pStyle w:val="5"/>
      </w:pPr>
      <w:r>
        <w:rPr>
          <w:rStyle w:val="9"/>
          <w:rFonts w:ascii="Times New Roman" w:hAnsi="Times New Roman"/>
        </w:rPr>
        <w:footnoteRef/>
      </w:r>
      <w:r>
        <w:rPr>
          <w:rFonts w:ascii="Times New Roman" w:hAnsi="Times New Roman"/>
        </w:rPr>
        <w:t>医疗机构仅有门诊或住院的，单项权重调整为20。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773A3"/>
    <w:rsid w:val="4B0C1AA7"/>
    <w:rsid w:val="4B0D7C38"/>
    <w:rsid w:val="7E1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2021-10-21T09:07:00Z</dcterms:created>
  <dc:creator>chenglinna</dc:creator>
  <cp:lastModifiedBy>chenglinna</cp:lastModifiedBy>
  <dcterms:modified xsi:type="dcterms:W3CDTF">2021-10-21T09:41:57Z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