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</w:rPr>
        <w:fldChar w:fldCharType="begin"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</w:rPr>
        <w:instrText xml:space="preserve"> HYPERLINK "http://czt.gd.gov.cn/hdjlpt/yjzj/api/attachments/view/e8bd5fe0611006123ede845026081d7c" \t "http://czt.gd.gov.cn/hdjlpt/yjzj/answer/_blank" </w:instrTex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22222"/>
          <w:spacing w:val="0"/>
          <w:sz w:val="44"/>
          <w:szCs w:val="44"/>
          <w:shd w:val="clear" w:color="auto" w:fill="FFFFFF"/>
          <w:lang w:val="en-US" w:eastAsia="zh-CN"/>
        </w:rPr>
        <w:t>《深圳市财政局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行政处罚减免责事项清单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22222"/>
          <w:spacing w:val="0"/>
          <w:sz w:val="44"/>
          <w:szCs w:val="44"/>
          <w:shd w:val="clear" w:color="auto" w:fill="FFFFFF"/>
          <w:lang w:val="en-US" w:eastAsia="zh-CN"/>
        </w:rPr>
        <w:t>》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</w:rPr>
        <w:fldChar w:fldCharType="end"/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（征求意见稿）的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起草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说明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贯彻落实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国家和省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进一步优化营商环境、建立行政处罚减免责清单的工作要求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，助推我市经济社会高质量发展，结合我市实际，经研究，我局起草形成《深圳市财政局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行政处罚减免责事项清单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》（征求意见稿）(以下简称《减免责清单》)，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说明如下：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-10" w:leftChars="0" w:firstLine="640" w:firstLineChars="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背景依据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制定《减免责清单》是贯彻落实国家和省、市关于深化“放管服”改革优化营商环境决策部署的要求。国家和省、市高度重视为各类市场主体创造良好的营商环境，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为进一步创新包容审慎监管执法方式，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持续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为市场主体打造法治化营商环境，国家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均明确提出各部门要建立推行减免责清单制度，研究出台减免责事项清单，明确在执法过程中可以从轻、减轻、免予行政处罚的具体事项和适用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情形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-10" w:leftChars="0" w:firstLine="640" w:firstLineChars="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目标任务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起草出台《减免责清单》主要基于以下考虑：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（一）减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免责清单应以直接面向市场主体的处罚事项为重点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国家和省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建立减免责清单的目的在于进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步优化营商环境，为市场主体打造宽松有序的市场环境，因此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我局亦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明确了减免责清单应以市场主体为对象的处罚事项为重点。经梳理，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直接面向市场主体尤其是企业的行政处罚事项集中在政府采购领域，因此，此次研究减免责清单主要以政府采购行政处罚事项为重点开展。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同时，完善对会计行业轻微违法行为不予处罚清单。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（二）减免责清单应在法定权限内合理设定适用情形。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减免责清单的设定应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当是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依法依规维护市场正常竞争秩序的基础上，在法定权限内对可以减免责的情形进行裁量，避免简单、生硬套用法条，实施“一刀切”式的执法。因此，设定减免责清单必须要有法定依据，设定的适用情形必须具体、明确，具有可操作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三、主要内容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20" w:lineRule="exact"/>
        <w:ind w:right="15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对政府采购相关法律法规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中针对供应商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及社会采购代理机构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的处罚事项进行梳理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研究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并结合政府采购行政处罚工作实务，最终形成了减免责事项共6项，其中：从轻处罚事项3项、减轻处罚事项1项、免处罚事项2项，并从主观因素、行为性质和危害后果等方面对具体适用情形进行了明确。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20" w:lineRule="exact"/>
        <w:ind w:right="15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对会计行业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相关法律法规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规章中针对会计师事务所、注册会计师的处罚事项进行梳理研究，最终形成减免责事项共2项，其中：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免处罚事项2项，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从轻处罚事项、无减轻处罚事项。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20" w:lineRule="exact"/>
        <w:ind w:left="150" w:right="150" w:firstLine="64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四、研判内容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20" w:lineRule="exact"/>
        <w:ind w:right="15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《深圳市财政局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行政处罚减免责事项清单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作为全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财政部门在行政处罚过程中可以直接参照适用的文件，对行政相对人的权益会产生重大影响，因此清单的合法性、科学性、合理性至关重要。现将征求意见稿公开征求社会公众意见，请从清单所列事项是否合理、适用情形是否明确、清单是否具有可操作性等方面提出意见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E61AA1"/>
    <w:multiLevelType w:val="singleLevel"/>
    <w:tmpl w:val="3DE61AA1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ZjNiZmMyM2NmMTA1YTA0ZDBmOWViOTdhZDM4YWQifQ=="/>
  </w:docVars>
  <w:rsids>
    <w:rsidRoot w:val="3C6E4A4D"/>
    <w:rsid w:val="03035935"/>
    <w:rsid w:val="07A80859"/>
    <w:rsid w:val="08DC4C5E"/>
    <w:rsid w:val="08E4716D"/>
    <w:rsid w:val="0BC11EE9"/>
    <w:rsid w:val="0F670FFA"/>
    <w:rsid w:val="103A04BC"/>
    <w:rsid w:val="114E2471"/>
    <w:rsid w:val="11A6405B"/>
    <w:rsid w:val="131C20FB"/>
    <w:rsid w:val="14B06F9F"/>
    <w:rsid w:val="22FD5AA5"/>
    <w:rsid w:val="26C62652"/>
    <w:rsid w:val="2B1071DC"/>
    <w:rsid w:val="31E85B72"/>
    <w:rsid w:val="365612FD"/>
    <w:rsid w:val="37313B18"/>
    <w:rsid w:val="38CA7D80"/>
    <w:rsid w:val="3A06128C"/>
    <w:rsid w:val="3B113B4B"/>
    <w:rsid w:val="3C6E4A4D"/>
    <w:rsid w:val="3D695DB9"/>
    <w:rsid w:val="3DCF7284"/>
    <w:rsid w:val="3FFB013D"/>
    <w:rsid w:val="3FFFE59D"/>
    <w:rsid w:val="421A3B26"/>
    <w:rsid w:val="42611755"/>
    <w:rsid w:val="43EDEA98"/>
    <w:rsid w:val="444430DC"/>
    <w:rsid w:val="46F8FA3C"/>
    <w:rsid w:val="4B50680B"/>
    <w:rsid w:val="4BEF02D7"/>
    <w:rsid w:val="4FF3C411"/>
    <w:rsid w:val="514227E5"/>
    <w:rsid w:val="53FF0DCE"/>
    <w:rsid w:val="57BC0B37"/>
    <w:rsid w:val="57FC8705"/>
    <w:rsid w:val="5BCB492A"/>
    <w:rsid w:val="5C25339C"/>
    <w:rsid w:val="5DCAF0DF"/>
    <w:rsid w:val="5DF6F572"/>
    <w:rsid w:val="5E420235"/>
    <w:rsid w:val="683C7AA3"/>
    <w:rsid w:val="6BB81B36"/>
    <w:rsid w:val="6CFBDC2E"/>
    <w:rsid w:val="6FBDAA36"/>
    <w:rsid w:val="711F61B4"/>
    <w:rsid w:val="71970440"/>
    <w:rsid w:val="76FC935A"/>
    <w:rsid w:val="777A1EAE"/>
    <w:rsid w:val="78B1247D"/>
    <w:rsid w:val="7B113011"/>
    <w:rsid w:val="7BF9E82D"/>
    <w:rsid w:val="7EDF2907"/>
    <w:rsid w:val="7F7AD29A"/>
    <w:rsid w:val="7FED4B0A"/>
    <w:rsid w:val="9C2FBE00"/>
    <w:rsid w:val="9F573B03"/>
    <w:rsid w:val="A7FF2CED"/>
    <w:rsid w:val="B8F54C96"/>
    <w:rsid w:val="CFEFBDE1"/>
    <w:rsid w:val="DDBFC6C5"/>
    <w:rsid w:val="E6FF85AA"/>
    <w:rsid w:val="EBEA7AB8"/>
    <w:rsid w:val="EBEF3E80"/>
    <w:rsid w:val="EF968F14"/>
    <w:rsid w:val="F46F4E5E"/>
    <w:rsid w:val="F68E0149"/>
    <w:rsid w:val="F7FA7B03"/>
    <w:rsid w:val="F9F9FBD3"/>
    <w:rsid w:val="FD1F3608"/>
    <w:rsid w:val="FEEF230E"/>
    <w:rsid w:val="FF4E8D09"/>
    <w:rsid w:val="FFDF9DE6"/>
    <w:rsid w:val="FFF7A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1144</Words>
  <Characters>1148</Characters>
  <Lines>0</Lines>
  <Paragraphs>0</Paragraphs>
  <TotalTime>899</TotalTime>
  <ScaleCrop>false</ScaleCrop>
  <LinksUpToDate>false</LinksUpToDate>
  <CharactersWithSpaces>1156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2022-06-26T17:26:00Z</dcterms:created>
  <dc:creator>郭玉祥</dc:creator>
  <cp:lastModifiedBy>liuxiaomin</cp:lastModifiedBy>
  <dcterms:modified xsi:type="dcterms:W3CDTF">2024-08-08T10:38:12Z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6525E49A9A3B2AAD3A53B36637675CB2</vt:lpwstr>
  </property>
</Properties>
</file>